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E474" w14:textId="79F3854A" w:rsidR="0083459C" w:rsidRPr="000F5BAC" w:rsidRDefault="006E4594" w:rsidP="007A2626">
      <w:pPr>
        <w:pStyle w:val="NoSpacing"/>
        <w:jc w:val="center"/>
        <w:rPr>
          <w:b/>
          <w:bCs/>
          <w:sz w:val="24"/>
          <w:szCs w:val="24"/>
        </w:rPr>
      </w:pPr>
      <w:r w:rsidRPr="000F5BAC">
        <w:rPr>
          <w:b/>
          <w:bCs/>
          <w:sz w:val="24"/>
          <w:szCs w:val="24"/>
        </w:rPr>
        <w:t>E</w:t>
      </w:r>
      <w:r w:rsidR="00820272" w:rsidRPr="000F5BAC">
        <w:rPr>
          <w:b/>
          <w:bCs/>
          <w:sz w:val="24"/>
          <w:szCs w:val="24"/>
        </w:rPr>
        <w:t xml:space="preserve">XHIBIT </w:t>
      </w:r>
      <w:r w:rsidRPr="000F5BAC">
        <w:rPr>
          <w:b/>
          <w:bCs/>
          <w:sz w:val="24"/>
          <w:szCs w:val="24"/>
        </w:rPr>
        <w:t>E</w:t>
      </w:r>
      <w:r w:rsidR="008B691F" w:rsidRPr="000F5BAC">
        <w:rPr>
          <w:b/>
          <w:bCs/>
          <w:sz w:val="24"/>
          <w:szCs w:val="24"/>
        </w:rPr>
        <w:t xml:space="preserve"> </w:t>
      </w:r>
      <w:bookmarkStart w:id="0" w:name="_Hlk85540629"/>
      <w:r w:rsidR="008B691F" w:rsidRPr="000F5BAC">
        <w:rPr>
          <w:b/>
          <w:bCs/>
          <w:sz w:val="24"/>
          <w:szCs w:val="24"/>
        </w:rPr>
        <w:t>–</w:t>
      </w:r>
      <w:bookmarkEnd w:id="0"/>
      <w:r w:rsidR="008B691F" w:rsidRPr="000F5BAC">
        <w:rPr>
          <w:b/>
          <w:bCs/>
          <w:sz w:val="24"/>
          <w:szCs w:val="24"/>
        </w:rPr>
        <w:t xml:space="preserve"> </w:t>
      </w:r>
      <w:r w:rsidR="00820272" w:rsidRPr="000F5BAC">
        <w:rPr>
          <w:b/>
          <w:bCs/>
          <w:sz w:val="24"/>
          <w:szCs w:val="24"/>
        </w:rPr>
        <w:t>DEFINITIONS</w:t>
      </w:r>
    </w:p>
    <w:p w14:paraId="46162B41" w14:textId="23DD2A2B" w:rsidR="0083459C" w:rsidRPr="000F5BAC" w:rsidRDefault="003F26A2" w:rsidP="008A1119">
      <w:pPr>
        <w:pStyle w:val="Heading2"/>
        <w:ind w:left="540" w:hanging="540"/>
        <w:rPr>
          <w:rFonts w:cs="Arial"/>
          <w:b w:val="0"/>
          <w:szCs w:val="24"/>
        </w:rPr>
      </w:pPr>
      <w:r w:rsidRPr="000F5BAC">
        <w:rPr>
          <w:rFonts w:cs="Arial"/>
          <w:szCs w:val="24"/>
        </w:rPr>
        <w:t>214 FORMS (ICS 214 FORMS</w:t>
      </w:r>
      <w:r w:rsidR="0083459C" w:rsidRPr="000F5BAC">
        <w:rPr>
          <w:rFonts w:cs="Arial"/>
          <w:szCs w:val="24"/>
        </w:rPr>
        <w:t>)</w:t>
      </w:r>
    </w:p>
    <w:p w14:paraId="5B8632C8" w14:textId="4B863048" w:rsidR="0083459C" w:rsidRPr="000F5BAC" w:rsidRDefault="0083459C" w:rsidP="008A1119">
      <w:pPr>
        <w:pStyle w:val="BodyText"/>
        <w:ind w:left="540"/>
      </w:pPr>
      <w:r w:rsidRPr="000F5BAC">
        <w:t xml:space="preserve">The Activity Log (ICS 214) records details of notable activities at any ICS level, including single resources, equipment, Task Forces, etc. </w:t>
      </w:r>
      <w:r w:rsidR="004B1871" w:rsidRPr="000F5BAC">
        <w:t xml:space="preserve"> </w:t>
      </w:r>
      <w:r w:rsidRPr="000F5BAC">
        <w:t>These logs provide basic incident activity documentation and a reference for any after action report.</w:t>
      </w:r>
    </w:p>
    <w:p w14:paraId="5377D214" w14:textId="6D318543" w:rsidR="0083459C" w:rsidRPr="000F5BAC" w:rsidRDefault="003F26A2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ASSESSOR’S PARCEL NUMBER (APN)</w:t>
      </w:r>
    </w:p>
    <w:p w14:paraId="36C33790" w14:textId="4657A2A8" w:rsidR="0083459C" w:rsidRPr="000F5BAC" w:rsidRDefault="0083459C" w:rsidP="008A1119">
      <w:pPr>
        <w:pStyle w:val="BodyText"/>
        <w:ind w:left="540"/>
        <w:rPr>
          <w:i/>
        </w:rPr>
      </w:pPr>
      <w:r w:rsidRPr="000F5BAC">
        <w:t xml:space="preserve">The unique number assigned to each parcel of land by the county tax assessor. </w:t>
      </w:r>
      <w:r w:rsidR="00B27B91" w:rsidRPr="000F5BAC">
        <w:t xml:space="preserve"> </w:t>
      </w:r>
      <w:r w:rsidR="004B1871" w:rsidRPr="000F5BAC">
        <w:t>Refer to</w:t>
      </w:r>
      <w:r w:rsidRPr="000F5BAC">
        <w:t xml:space="preserve"> </w:t>
      </w:r>
      <w:r w:rsidR="002556FF" w:rsidRPr="000F5BAC">
        <w:t>“</w:t>
      </w:r>
      <w:r w:rsidRPr="000F5BAC">
        <w:rPr>
          <w:iCs/>
        </w:rPr>
        <w:t>Site</w:t>
      </w:r>
      <w:r w:rsidR="002556FF" w:rsidRPr="000F5BAC">
        <w:rPr>
          <w:iCs/>
        </w:rPr>
        <w:t>”</w:t>
      </w:r>
      <w:r w:rsidRPr="000F5BAC">
        <w:rPr>
          <w:i/>
        </w:rPr>
        <w:t>.</w:t>
      </w:r>
    </w:p>
    <w:p w14:paraId="16DFFA77" w14:textId="3631DB4F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CAL OES</w:t>
      </w:r>
    </w:p>
    <w:p w14:paraId="29986E6A" w14:textId="3AC456CA" w:rsidR="0083459C" w:rsidRPr="000F5BAC" w:rsidRDefault="003B6491" w:rsidP="008A1119">
      <w:pPr>
        <w:pStyle w:val="BodyText"/>
        <w:spacing w:before="240" w:after="240"/>
        <w:ind w:left="540"/>
      </w:pPr>
      <w:r w:rsidRPr="000F5BAC">
        <w:t xml:space="preserve">The </w:t>
      </w:r>
      <w:r w:rsidR="0083459C" w:rsidRPr="000F5BAC">
        <w:t>California Governor's Office of Emergency Services</w:t>
      </w:r>
      <w:r w:rsidR="007E1A9F" w:rsidRPr="000F5BAC">
        <w:t>.</w:t>
      </w:r>
    </w:p>
    <w:p w14:paraId="79CD2F3A" w14:textId="26203008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CALEPA</w:t>
      </w:r>
    </w:p>
    <w:p w14:paraId="4F99CE76" w14:textId="721C0B38" w:rsidR="0083459C" w:rsidRPr="000F5BAC" w:rsidRDefault="0083459C" w:rsidP="008A1119">
      <w:pPr>
        <w:pStyle w:val="BodyText"/>
        <w:spacing w:before="240" w:after="240"/>
        <w:ind w:left="540"/>
      </w:pPr>
      <w:r w:rsidRPr="000F5BAC">
        <w:t>The California Environmental Protection Agency</w:t>
      </w:r>
      <w:r w:rsidR="007E1A9F" w:rsidRPr="000F5BAC">
        <w:t>.</w:t>
      </w:r>
    </w:p>
    <w:p w14:paraId="3F1C76D6" w14:textId="55C91110" w:rsidR="0083459C" w:rsidRPr="000F5BAC" w:rsidRDefault="007C4EFD" w:rsidP="008A1119">
      <w:pPr>
        <w:pStyle w:val="Heading2"/>
        <w:ind w:left="540" w:hanging="540"/>
        <w:rPr>
          <w:rFonts w:eastAsia="Times New Roman" w:cs="Arial"/>
          <w:szCs w:val="24"/>
        </w:rPr>
      </w:pPr>
      <w:r w:rsidRPr="000F5BAC">
        <w:rPr>
          <w:rFonts w:eastAsia="Times New Roman" w:cs="Arial"/>
          <w:szCs w:val="24"/>
        </w:rPr>
        <w:t>CALRECYCLE</w:t>
      </w:r>
    </w:p>
    <w:p w14:paraId="4207C66F" w14:textId="7B59D0B1" w:rsidR="0083459C" w:rsidRPr="000F5BAC" w:rsidRDefault="003B6491" w:rsidP="008A1119">
      <w:pPr>
        <w:pStyle w:val="BodyText"/>
        <w:spacing w:before="240" w:after="240"/>
        <w:ind w:left="540"/>
        <w:rPr>
          <w:rFonts w:eastAsia="Times New Roman"/>
        </w:rPr>
      </w:pPr>
      <w:r w:rsidRPr="000F5BAC">
        <w:t>The</w:t>
      </w:r>
      <w:r w:rsidRPr="000F5BAC">
        <w:rPr>
          <w:rFonts w:eastAsia="Times New Roman"/>
        </w:rPr>
        <w:t xml:space="preserve"> </w:t>
      </w:r>
      <w:r w:rsidRPr="000F5BAC">
        <w:t>California</w:t>
      </w:r>
      <w:r w:rsidRPr="000F5BAC">
        <w:rPr>
          <w:rFonts w:eastAsia="Times New Roman"/>
        </w:rPr>
        <w:t xml:space="preserve"> </w:t>
      </w:r>
      <w:r w:rsidR="0083459C" w:rsidRPr="000F5BAC">
        <w:rPr>
          <w:rFonts w:eastAsia="Times New Roman"/>
        </w:rPr>
        <w:t>Department of Resources Recycling and Recovery</w:t>
      </w:r>
      <w:r w:rsidR="007E1A9F" w:rsidRPr="000F5BAC">
        <w:rPr>
          <w:rFonts w:eastAsia="Times New Roman"/>
        </w:rPr>
        <w:t>.</w:t>
      </w:r>
    </w:p>
    <w:p w14:paraId="16367A8E" w14:textId="75DCB157" w:rsidR="001F5C81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CLEANUP GOAL REPORT</w:t>
      </w:r>
    </w:p>
    <w:p w14:paraId="48BB583D" w14:textId="33651F61" w:rsidR="00C844A2" w:rsidRPr="000F5BAC" w:rsidRDefault="00642250" w:rsidP="008A1119">
      <w:pPr>
        <w:pStyle w:val="BodyText"/>
        <w:spacing w:before="240" w:after="240"/>
        <w:ind w:left="540"/>
      </w:pPr>
      <w:r w:rsidRPr="000F5BAC">
        <w:t>The scope of work consisted of collecting soil samples from</w:t>
      </w:r>
      <w:r w:rsidR="00324681" w:rsidRPr="000F5BAC">
        <w:t xml:space="preserve"> across the fire impacted areas.</w:t>
      </w:r>
      <w:r w:rsidR="00A61F79" w:rsidRPr="000F5BAC">
        <w:t xml:space="preserve"> </w:t>
      </w:r>
      <w:r w:rsidR="00324681" w:rsidRPr="000F5BAC">
        <w:t xml:space="preserve"> </w:t>
      </w:r>
      <w:r w:rsidRPr="000F5BAC">
        <w:t xml:space="preserve">Samples </w:t>
      </w:r>
      <w:r w:rsidR="00324681" w:rsidRPr="000F5BAC">
        <w:t>are</w:t>
      </w:r>
      <w:r w:rsidRPr="000F5BAC">
        <w:t xml:space="preserve"> collected from geologic units within each </w:t>
      </w:r>
      <w:r w:rsidR="00324681" w:rsidRPr="000F5BAC">
        <w:t xml:space="preserve">geologic formation within the burn scar. </w:t>
      </w:r>
      <w:r w:rsidR="00A61F79" w:rsidRPr="000F5BAC">
        <w:t xml:space="preserve"> </w:t>
      </w:r>
      <w:r w:rsidR="00324681" w:rsidRPr="000F5BAC">
        <w:t xml:space="preserve">The most up to date </w:t>
      </w:r>
      <w:r w:rsidR="00C844A2" w:rsidRPr="000F5BAC">
        <w:t xml:space="preserve">California and Federal health-based and hazardous waste standards </w:t>
      </w:r>
      <w:r w:rsidR="00324681" w:rsidRPr="000F5BAC">
        <w:t>are then</w:t>
      </w:r>
      <w:r w:rsidR="00C844A2" w:rsidRPr="000F5BAC">
        <w:t xml:space="preserve"> compiled to</w:t>
      </w:r>
      <w:r w:rsidR="00324681" w:rsidRPr="000F5BAC">
        <w:t xml:space="preserve"> </w:t>
      </w:r>
      <w:r w:rsidR="00C844A2" w:rsidRPr="000F5BAC">
        <w:t xml:space="preserve">evaluate cleanup goals </w:t>
      </w:r>
      <w:r w:rsidR="00324681" w:rsidRPr="000F5BAC">
        <w:t xml:space="preserve">for the burn scar area’s </w:t>
      </w:r>
      <w:r w:rsidR="0F3985E7" w:rsidRPr="000F5BAC">
        <w:t xml:space="preserve">soil types within unique </w:t>
      </w:r>
      <w:r w:rsidR="00324681" w:rsidRPr="000F5BAC">
        <w:t>geologic units</w:t>
      </w:r>
      <w:r w:rsidR="00C844A2" w:rsidRPr="000F5BAC">
        <w:t xml:space="preserve">. </w:t>
      </w:r>
      <w:r w:rsidR="00A61F79" w:rsidRPr="000F5BAC">
        <w:t xml:space="preserve"> </w:t>
      </w:r>
      <w:r w:rsidR="00C844A2" w:rsidRPr="000F5BAC">
        <w:t xml:space="preserve">Background levels </w:t>
      </w:r>
      <w:r w:rsidR="00324681" w:rsidRPr="000F5BAC">
        <w:t xml:space="preserve">of heavy metals </w:t>
      </w:r>
      <w:r w:rsidR="00C844A2" w:rsidRPr="000F5BAC">
        <w:t>are considered when</w:t>
      </w:r>
      <w:r w:rsidR="00324681" w:rsidRPr="000F5BAC">
        <w:t xml:space="preserve"> </w:t>
      </w:r>
      <w:r w:rsidR="00C844A2" w:rsidRPr="000F5BAC">
        <w:t>determining cleanup goals to ensure that resources are not allocated to removing soil concentrations which may be above the health-based standards but are not related to the debris from the incident.</w:t>
      </w:r>
    </w:p>
    <w:p w14:paraId="1F4B99C2" w14:textId="13C75EF3" w:rsidR="0083459C" w:rsidRPr="000F5BAC" w:rsidRDefault="25490920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CONTRACT MANAGER</w:t>
      </w:r>
    </w:p>
    <w:p w14:paraId="5F7325CD" w14:textId="00C890B0" w:rsidR="0083459C" w:rsidRPr="000F5BAC" w:rsidRDefault="25490920" w:rsidP="009C009F">
      <w:pPr>
        <w:ind w:left="540"/>
        <w:rPr>
          <w:sz w:val="24"/>
          <w:szCs w:val="24"/>
        </w:rPr>
      </w:pPr>
      <w:r w:rsidRPr="000F5BAC">
        <w:rPr>
          <w:sz w:val="24"/>
          <w:szCs w:val="24"/>
        </w:rPr>
        <w:t xml:space="preserve">State or User Agency staff </w:t>
      </w:r>
      <w:r w:rsidR="36355F59" w:rsidRPr="000F5BAC">
        <w:rPr>
          <w:sz w:val="24"/>
          <w:szCs w:val="24"/>
        </w:rPr>
        <w:t xml:space="preserve">point of contact responsible for managing </w:t>
      </w:r>
      <w:r w:rsidR="556BBFD2" w:rsidRPr="000F5BAC">
        <w:rPr>
          <w:sz w:val="24"/>
          <w:szCs w:val="24"/>
        </w:rPr>
        <w:t>contractors to meet the</w:t>
      </w:r>
      <w:r w:rsidR="77137863" w:rsidRPr="000F5BAC">
        <w:rPr>
          <w:sz w:val="24"/>
          <w:szCs w:val="24"/>
        </w:rPr>
        <w:t>ir</w:t>
      </w:r>
      <w:r w:rsidR="556BBFD2" w:rsidRPr="000F5BAC">
        <w:rPr>
          <w:sz w:val="24"/>
          <w:szCs w:val="24"/>
        </w:rPr>
        <w:t xml:space="preserve"> respective scopes of </w:t>
      </w:r>
      <w:r w:rsidR="009C009F" w:rsidRPr="000F5BAC">
        <w:rPr>
          <w:sz w:val="24"/>
          <w:szCs w:val="24"/>
        </w:rPr>
        <w:t>work and</w:t>
      </w:r>
      <w:r w:rsidR="556BBFD2" w:rsidRPr="000F5BAC">
        <w:rPr>
          <w:sz w:val="24"/>
          <w:szCs w:val="24"/>
        </w:rPr>
        <w:t xml:space="preserve"> </w:t>
      </w:r>
      <w:r w:rsidR="26C0360E" w:rsidRPr="000F5BAC">
        <w:rPr>
          <w:sz w:val="24"/>
          <w:szCs w:val="24"/>
        </w:rPr>
        <w:t xml:space="preserve">approve </w:t>
      </w:r>
      <w:r w:rsidR="47D94642" w:rsidRPr="000F5BAC">
        <w:rPr>
          <w:sz w:val="24"/>
          <w:szCs w:val="24"/>
        </w:rPr>
        <w:t xml:space="preserve">contractor </w:t>
      </w:r>
      <w:r w:rsidR="556BBFD2" w:rsidRPr="000F5BAC">
        <w:rPr>
          <w:sz w:val="24"/>
          <w:szCs w:val="24"/>
        </w:rPr>
        <w:t>reimburs</w:t>
      </w:r>
      <w:r w:rsidR="50E07923" w:rsidRPr="000F5BAC">
        <w:rPr>
          <w:sz w:val="24"/>
          <w:szCs w:val="24"/>
        </w:rPr>
        <w:t>e</w:t>
      </w:r>
      <w:r w:rsidR="556BBFD2" w:rsidRPr="000F5BAC">
        <w:rPr>
          <w:sz w:val="24"/>
          <w:szCs w:val="24"/>
        </w:rPr>
        <w:t>ment f</w:t>
      </w:r>
      <w:r w:rsidR="3B24C8CF" w:rsidRPr="000F5BAC">
        <w:rPr>
          <w:sz w:val="24"/>
          <w:szCs w:val="24"/>
        </w:rPr>
        <w:t xml:space="preserve">or </w:t>
      </w:r>
      <w:r w:rsidR="6D80B35A" w:rsidRPr="000F5BAC">
        <w:rPr>
          <w:sz w:val="24"/>
          <w:szCs w:val="24"/>
        </w:rPr>
        <w:t xml:space="preserve">completed and approved work documented </w:t>
      </w:r>
      <w:r w:rsidR="48AE3F7E" w:rsidRPr="000F5BAC">
        <w:rPr>
          <w:sz w:val="24"/>
          <w:szCs w:val="24"/>
        </w:rPr>
        <w:t xml:space="preserve">by A&amp;M Consultant and </w:t>
      </w:r>
      <w:r w:rsidR="6D80B35A" w:rsidRPr="000F5BAC">
        <w:rPr>
          <w:sz w:val="24"/>
          <w:szCs w:val="24"/>
        </w:rPr>
        <w:t>in contractor invoices.</w:t>
      </w:r>
    </w:p>
    <w:p w14:paraId="70AA55DB" w14:textId="7BEB0E3E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lastRenderedPageBreak/>
        <w:t>CONTRACTOR</w:t>
      </w:r>
    </w:p>
    <w:p w14:paraId="51ACA08D" w14:textId="4C488621" w:rsidR="0083459C" w:rsidRPr="000F5BAC" w:rsidRDefault="0083459C" w:rsidP="008A1119">
      <w:pPr>
        <w:pStyle w:val="BodyText"/>
        <w:spacing w:before="240" w:after="240"/>
        <w:ind w:left="540"/>
      </w:pPr>
      <w:r w:rsidRPr="000F5BAC">
        <w:t xml:space="preserve">A party contracting with the awarding </w:t>
      </w:r>
      <w:r w:rsidR="00750AE5" w:rsidRPr="000F5BAC">
        <w:t>A</w:t>
      </w:r>
      <w:r w:rsidRPr="000F5BAC">
        <w:t>gency.</w:t>
      </w:r>
    </w:p>
    <w:p w14:paraId="18000524" w14:textId="4C34C20E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DAY</w:t>
      </w:r>
    </w:p>
    <w:p w14:paraId="53D1F1A5" w14:textId="77777777" w:rsidR="0083459C" w:rsidRPr="000F5BAC" w:rsidRDefault="0083459C" w:rsidP="008A1119">
      <w:pPr>
        <w:pStyle w:val="BodyText"/>
        <w:spacing w:before="240" w:after="240"/>
        <w:ind w:left="540"/>
      </w:pPr>
      <w:r w:rsidRPr="000F5BAC">
        <w:t>Unless otherwise indicated, a “day” or “days” refers to a calendar day(s).</w:t>
      </w:r>
    </w:p>
    <w:p w14:paraId="7577F70A" w14:textId="4A5D9098" w:rsidR="008B691F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DGS</w:t>
      </w:r>
    </w:p>
    <w:p w14:paraId="7AB4742C" w14:textId="3D504037" w:rsidR="008B691F" w:rsidRPr="000F5BAC" w:rsidRDefault="003B6491" w:rsidP="008A1119">
      <w:pPr>
        <w:pStyle w:val="BodyText"/>
        <w:spacing w:before="240" w:after="240"/>
        <w:ind w:left="540"/>
        <w:rPr>
          <w:b/>
          <w:bCs/>
        </w:rPr>
      </w:pPr>
      <w:r w:rsidRPr="000F5BAC">
        <w:t xml:space="preserve">The California </w:t>
      </w:r>
      <w:r w:rsidR="008B691F" w:rsidRPr="000F5BAC">
        <w:t>Department of General Services, Procurement Division</w:t>
      </w:r>
      <w:r w:rsidRPr="000F5BAC">
        <w:t xml:space="preserve"> (DG</w:t>
      </w:r>
      <w:r w:rsidR="000D2F5D">
        <w:t>S</w:t>
      </w:r>
      <w:r w:rsidR="003028B3">
        <w:t xml:space="preserve"> </w:t>
      </w:r>
      <w:r w:rsidR="000D2F5D" w:rsidRPr="000D2F5D">
        <w:t>–</w:t>
      </w:r>
      <w:r w:rsidR="003028B3">
        <w:t xml:space="preserve"> </w:t>
      </w:r>
      <w:r w:rsidR="000D2F5D">
        <w:t>P</w:t>
      </w:r>
      <w:r w:rsidRPr="000F5BAC">
        <w:t>D).</w:t>
      </w:r>
    </w:p>
    <w:p w14:paraId="2DA8AA67" w14:textId="0A6391E2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bookmarkStart w:id="1" w:name="_Hlk77346902"/>
      <w:r w:rsidRPr="000F5BAC">
        <w:rPr>
          <w:rFonts w:cs="Arial"/>
          <w:szCs w:val="24"/>
        </w:rPr>
        <w:t>DIRECTOR</w:t>
      </w:r>
    </w:p>
    <w:p w14:paraId="3A9DFA40" w14:textId="5BC85DA0" w:rsidR="0083459C" w:rsidRPr="000F5BAC" w:rsidRDefault="0083459C" w:rsidP="008A1119">
      <w:pPr>
        <w:pStyle w:val="BodyText"/>
        <w:spacing w:before="240" w:after="240"/>
        <w:ind w:left="540"/>
      </w:pPr>
      <w:r w:rsidRPr="000F5BAC">
        <w:t xml:space="preserve">The Director of the </w:t>
      </w:r>
      <w:r w:rsidR="00C86FA9" w:rsidRPr="000F5BAC">
        <w:t>User Agency</w:t>
      </w:r>
      <w:r w:rsidRPr="000F5BAC">
        <w:t>, or his/her designees.</w:t>
      </w:r>
      <w:r w:rsidR="00A61F79" w:rsidRPr="000F5BAC">
        <w:t xml:space="preserve"> </w:t>
      </w:r>
      <w:r w:rsidRPr="000F5BAC">
        <w:t xml:space="preserve"> Any references to Executive Officer shall mean the Director and/or designated officer.</w:t>
      </w:r>
    </w:p>
    <w:bookmarkEnd w:id="1"/>
    <w:p w14:paraId="72093883" w14:textId="0280F7F5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DISABLED VETERAN BUSINESS ENTERPRISE (CERTIFIED)</w:t>
      </w:r>
    </w:p>
    <w:p w14:paraId="02C8502F" w14:textId="24B49A84" w:rsidR="00880A70" w:rsidRPr="000F5BAC" w:rsidRDefault="0083459C">
      <w:pPr>
        <w:pStyle w:val="BodyText"/>
        <w:spacing w:before="240" w:after="240"/>
        <w:ind w:left="540"/>
      </w:pPr>
      <w:r w:rsidRPr="000F5BAC">
        <w:t xml:space="preserve">A business </w:t>
      </w:r>
      <w:r w:rsidR="00880A70" w:rsidRPr="000F5BAC">
        <w:t xml:space="preserve">that </w:t>
      </w:r>
      <w:r w:rsidRPr="000F5BAC">
        <w:t xml:space="preserve">has been certified by </w:t>
      </w:r>
      <w:r w:rsidR="003028B3">
        <w:t>DGS-PD</w:t>
      </w:r>
      <w:r w:rsidRPr="000F5BAC">
        <w:t>, Office of Small Business and DVBE Services (OSDS)</w:t>
      </w:r>
      <w:r w:rsidR="00880A70" w:rsidRPr="000F5BAC">
        <w:t>, as a Disabled Veteran Business Enterprise (DVBE) as defined in Military and Veterans Code 999</w:t>
      </w:r>
      <w:r w:rsidR="00F57051" w:rsidRPr="000F5BAC">
        <w:t xml:space="preserve"> et. seq</w:t>
      </w:r>
      <w:r w:rsidR="00880A70" w:rsidRPr="000F5BAC">
        <w:t>.</w:t>
      </w:r>
      <w:r w:rsidR="00F57051" w:rsidRPr="000F5BAC">
        <w:t xml:space="preserve"> and 2 </w:t>
      </w:r>
      <w:r w:rsidR="003B6491" w:rsidRPr="000F5BAC">
        <w:t>California Code of Regulation (</w:t>
      </w:r>
      <w:r w:rsidR="00F57051" w:rsidRPr="000F5BAC">
        <w:t>CCR</w:t>
      </w:r>
      <w:r w:rsidR="003B6491" w:rsidRPr="000F5BAC">
        <w:t>)</w:t>
      </w:r>
      <w:r w:rsidR="00F57051" w:rsidRPr="000F5BAC">
        <w:t xml:space="preserve"> 1896.60</w:t>
      </w:r>
      <w:r w:rsidR="003B6491" w:rsidRPr="000F5BAC">
        <w:t>.</w:t>
      </w:r>
    </w:p>
    <w:p w14:paraId="4BF50804" w14:textId="161F67F3" w:rsidR="005E48DC" w:rsidRPr="000F5BAC" w:rsidRDefault="005E48DC" w:rsidP="007A2626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DISASTER DEBRIS AND HAZARD TREE REMOVAL (DDHTR) CONTRACTOR</w:t>
      </w:r>
    </w:p>
    <w:p w14:paraId="1241614A" w14:textId="6F4A71B6" w:rsidR="005E48DC" w:rsidRPr="000F5BAC" w:rsidRDefault="005E48DC" w:rsidP="005E48DC">
      <w:pPr>
        <w:pStyle w:val="BodyText"/>
        <w:spacing w:before="240" w:after="240"/>
        <w:ind w:left="540"/>
      </w:pPr>
      <w:r w:rsidRPr="000F5BAC">
        <w:t xml:space="preserve">The </w:t>
      </w:r>
      <w:r w:rsidR="0E1D7CE3" w:rsidRPr="000F5BAC">
        <w:t>c</w:t>
      </w:r>
      <w:r w:rsidRPr="000F5BAC">
        <w:t xml:space="preserve">ontractor </w:t>
      </w:r>
      <w:r w:rsidR="0B7F13E1" w:rsidRPr="000F5BAC">
        <w:t xml:space="preserve">responsible </w:t>
      </w:r>
      <w:r w:rsidR="00B54982" w:rsidRPr="000F5BAC">
        <w:t>for</w:t>
      </w:r>
      <w:r w:rsidRPr="000F5BAC">
        <w:t xml:space="preserve"> disaster debris and hazard tree</w:t>
      </w:r>
      <w:r w:rsidR="00B54982" w:rsidRPr="000F5BAC">
        <w:t xml:space="preserve"> removal</w:t>
      </w:r>
      <w:r w:rsidRPr="000F5BAC">
        <w:t xml:space="preserve"> identified by the Assessment and Monitoring Contractor</w:t>
      </w:r>
      <w:r w:rsidR="37746808" w:rsidRPr="000F5BAC">
        <w:t xml:space="preserve"> and as directed by the Contract Manager and </w:t>
      </w:r>
      <w:r w:rsidR="00427AE4" w:rsidRPr="000F5BAC">
        <w:t xml:space="preserve">Incident Management Team </w:t>
      </w:r>
      <w:r w:rsidR="00427AE4">
        <w:t>(</w:t>
      </w:r>
      <w:r w:rsidR="37746808" w:rsidRPr="000F5BAC">
        <w:t>IMT</w:t>
      </w:r>
      <w:r w:rsidR="00427AE4">
        <w:t>)</w:t>
      </w:r>
      <w:r w:rsidR="37746808" w:rsidRPr="000F5BAC">
        <w:t>.</w:t>
      </w:r>
    </w:p>
    <w:p w14:paraId="795E97BA" w14:textId="77E4544F" w:rsidR="310ACD31" w:rsidRPr="000F5BAC" w:rsidRDefault="310ACD31" w:rsidP="1A89B3C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FIELD STAFF</w:t>
      </w:r>
    </w:p>
    <w:p w14:paraId="68550EE5" w14:textId="4C690204" w:rsidR="310ACD31" w:rsidRPr="000F5BAC" w:rsidRDefault="310ACD31" w:rsidP="1A89B3C9">
      <w:pPr>
        <w:pStyle w:val="BodyText"/>
        <w:spacing w:before="240" w:after="240"/>
        <w:ind w:left="540"/>
      </w:pPr>
      <w:r w:rsidRPr="000F5BAC">
        <w:t xml:space="preserve">Contractor’s staff or </w:t>
      </w:r>
      <w:r w:rsidR="009C5A87" w:rsidRPr="000F5BAC">
        <w:t>Subcontractor</w:t>
      </w:r>
      <w:r w:rsidRPr="000F5BAC">
        <w:t xml:space="preserve"> staff that conducts work throughout the Operational area</w:t>
      </w:r>
      <w:r w:rsidR="783A1327" w:rsidRPr="000F5BAC">
        <w:t>. This does not include staff that work in a field office or remote Contractor’s office, full-time.</w:t>
      </w:r>
    </w:p>
    <w:p w14:paraId="762C2199" w14:textId="2FC599D5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HAZARD TREE</w:t>
      </w:r>
    </w:p>
    <w:p w14:paraId="1611DDC0" w14:textId="09F9E8FE" w:rsidR="0083459C" w:rsidRPr="000F5BAC" w:rsidRDefault="0083459C" w:rsidP="008A1119">
      <w:pPr>
        <w:pStyle w:val="BodyText"/>
        <w:spacing w:before="240" w:after="240"/>
        <w:ind w:left="540"/>
      </w:pPr>
      <w:r w:rsidRPr="000F5BAC">
        <w:t xml:space="preserve">A tree so damaged by fire that it possesses an imminent threat of falling onto public </w:t>
      </w:r>
      <w:r w:rsidR="00D6185A" w:rsidRPr="000F5BAC">
        <w:t>R</w:t>
      </w:r>
      <w:r w:rsidRPr="000F5BAC">
        <w:t>ight</w:t>
      </w:r>
      <w:r w:rsidR="005E48DC" w:rsidRPr="000F5BAC">
        <w:t>-</w:t>
      </w:r>
      <w:r w:rsidRPr="000F5BAC">
        <w:t>of</w:t>
      </w:r>
      <w:r w:rsidR="005E48DC" w:rsidRPr="000F5BAC">
        <w:t>-</w:t>
      </w:r>
      <w:r w:rsidR="00D6185A" w:rsidRPr="000F5BAC">
        <w:t>W</w:t>
      </w:r>
      <w:r w:rsidRPr="000F5BAC">
        <w:t>ay (ROW), other improved public property, or other infrastructure – as approved by the IMT.</w:t>
      </w:r>
    </w:p>
    <w:p w14:paraId="095A3097" w14:textId="40851CB3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INCIDENT ACTION PLAN (IAP)</w:t>
      </w:r>
    </w:p>
    <w:p w14:paraId="6406C022" w14:textId="1856FC3C" w:rsidR="0083459C" w:rsidRDefault="0083459C" w:rsidP="008A1119">
      <w:pPr>
        <w:pStyle w:val="BodyText"/>
        <w:spacing w:before="240" w:after="240"/>
        <w:ind w:left="540"/>
      </w:pPr>
      <w:r w:rsidRPr="000F5BAC">
        <w:t xml:space="preserve">A formal plan which documents incident goals, </w:t>
      </w:r>
      <w:r w:rsidR="0028080C" w:rsidRPr="000F5BAC">
        <w:t>O</w:t>
      </w:r>
      <w:r w:rsidRPr="000F5BAC">
        <w:t xml:space="preserve">perational period objectives, </w:t>
      </w:r>
      <w:r w:rsidRPr="000F5BAC">
        <w:lastRenderedPageBreak/>
        <w:t xml:space="preserve">and the response strategy defined by incident command during response planning. </w:t>
      </w:r>
      <w:r w:rsidR="00D6185A" w:rsidRPr="000F5BAC">
        <w:t xml:space="preserve"> </w:t>
      </w:r>
      <w:r w:rsidRPr="000F5BAC">
        <w:t>It contains general tactics to achieve goals and objectives within the overall strategy, while providing important information on event and response parameters.</w:t>
      </w:r>
    </w:p>
    <w:p w14:paraId="2FBDCD25" w14:textId="43A3C513" w:rsidR="003028B3" w:rsidRPr="00200F15" w:rsidRDefault="003028B3" w:rsidP="003028B3">
      <w:pPr>
        <w:pStyle w:val="Heading2"/>
        <w:ind w:left="540" w:hanging="540"/>
        <w:rPr>
          <w:rFonts w:ascii="Calibri" w:eastAsiaTheme="minorHAnsi" w:hAnsi="Calibri" w:cs="Calibri"/>
        </w:rPr>
      </w:pPr>
      <w:r w:rsidRPr="00200F15">
        <w:rPr>
          <w:rFonts w:cs="Arial"/>
          <w:szCs w:val="24"/>
        </w:rPr>
        <w:t>INCIDENT COMMAND SYSTEM (ICS)</w:t>
      </w:r>
    </w:p>
    <w:p w14:paraId="555F032D" w14:textId="429D69B7" w:rsidR="003028B3" w:rsidRPr="00AA4302" w:rsidRDefault="003028B3" w:rsidP="00200F15">
      <w:pPr>
        <w:ind w:left="540"/>
        <w:rPr>
          <w:szCs w:val="24"/>
        </w:rPr>
      </w:pPr>
      <w:r w:rsidRPr="00200F15">
        <w:rPr>
          <w:sz w:val="24"/>
          <w:szCs w:val="24"/>
        </w:rPr>
        <w:t>A standardized approach to the command, control, and coordination of emergency response providing a common hierarchy within which responders from multiple Agencies can be effective.</w:t>
      </w:r>
    </w:p>
    <w:p w14:paraId="42EC8C1A" w14:textId="28E9DB64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bookmarkStart w:id="2" w:name="_Hlk80106649"/>
      <w:r w:rsidRPr="000F5BAC">
        <w:rPr>
          <w:rFonts w:cs="Arial"/>
          <w:szCs w:val="24"/>
        </w:rPr>
        <w:t xml:space="preserve">INCIDENT MANAGEMENT TEAM </w:t>
      </w:r>
      <w:bookmarkEnd w:id="2"/>
      <w:r w:rsidRPr="000F5BAC">
        <w:rPr>
          <w:rFonts w:cs="Arial"/>
          <w:szCs w:val="24"/>
        </w:rPr>
        <w:t>(IMT</w:t>
      </w:r>
      <w:r w:rsidR="0083459C" w:rsidRPr="000F5BAC">
        <w:rPr>
          <w:rFonts w:cs="Arial"/>
          <w:szCs w:val="24"/>
        </w:rPr>
        <w:t>)</w:t>
      </w:r>
    </w:p>
    <w:p w14:paraId="07C7870F" w14:textId="2A251C81" w:rsidR="0083459C" w:rsidRPr="000F5BAC" w:rsidRDefault="0083459C" w:rsidP="008A1119">
      <w:pPr>
        <w:pStyle w:val="BodyText"/>
        <w:spacing w:before="240" w:after="240"/>
        <w:ind w:left="540"/>
      </w:pPr>
      <w:r w:rsidRPr="000F5BAC">
        <w:t xml:space="preserve">Designated personnel who provide support to incident management. </w:t>
      </w:r>
      <w:r w:rsidR="00D6185A" w:rsidRPr="000F5BAC">
        <w:t xml:space="preserve"> </w:t>
      </w:r>
      <w:r w:rsidRPr="000F5BAC">
        <w:t>The IMT include</w:t>
      </w:r>
      <w:r w:rsidR="00871128">
        <w:t>s</w:t>
      </w:r>
      <w:r w:rsidRPr="000F5BAC">
        <w:t xml:space="preserve"> the Operations Chief, Planning Chief, Finance and Administration Section Chief and their respective designees.</w:t>
      </w:r>
    </w:p>
    <w:p w14:paraId="4965AFB6" w14:textId="30D5BC29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HOLIDAY</w:t>
      </w:r>
      <w:r w:rsidR="00875DC7" w:rsidRPr="000F5BAC">
        <w:rPr>
          <w:rFonts w:cs="Arial"/>
          <w:szCs w:val="24"/>
        </w:rPr>
        <w:t>S</w:t>
      </w:r>
    </w:p>
    <w:p w14:paraId="5D12B547" w14:textId="77777777" w:rsidR="0083459C" w:rsidRPr="000F5BAC" w:rsidRDefault="0083459C" w:rsidP="008A1119">
      <w:pPr>
        <w:pStyle w:val="BodyText"/>
        <w:spacing w:before="240" w:after="240"/>
        <w:ind w:left="540"/>
      </w:pPr>
      <w:r w:rsidRPr="000F5BAC">
        <w:t>Those days designated as State holidays in the Government Code.</w:t>
      </w:r>
    </w:p>
    <w:p w14:paraId="5FF3C2D9" w14:textId="2B859506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LOT</w:t>
      </w:r>
    </w:p>
    <w:p w14:paraId="2586D8AC" w14:textId="12A03EF9" w:rsidR="0083459C" w:rsidRPr="000F5BAC" w:rsidRDefault="004B1871" w:rsidP="008A1119">
      <w:pPr>
        <w:pStyle w:val="BodyText"/>
        <w:spacing w:before="240" w:after="240"/>
        <w:ind w:left="540"/>
        <w:rPr>
          <w:i/>
        </w:rPr>
      </w:pPr>
      <w:r w:rsidRPr="000F5BAC">
        <w:t>Refer to</w:t>
      </w:r>
      <w:r w:rsidR="002556FF" w:rsidRPr="000F5BAC">
        <w:t xml:space="preserve"> “</w:t>
      </w:r>
      <w:r w:rsidR="0083459C" w:rsidRPr="000F5BAC">
        <w:t>Site</w:t>
      </w:r>
      <w:r w:rsidR="002556FF" w:rsidRPr="000F5BAC">
        <w:t>”</w:t>
      </w:r>
      <w:r w:rsidR="0083459C" w:rsidRPr="000F5BAC">
        <w:t>.</w:t>
      </w:r>
    </w:p>
    <w:p w14:paraId="32C68014" w14:textId="531BE091" w:rsidR="00B93C4E" w:rsidRPr="000F5BAC" w:rsidRDefault="00EA3533" w:rsidP="008A1119">
      <w:pPr>
        <w:pStyle w:val="Heading2"/>
        <w:ind w:left="540" w:hanging="540"/>
        <w:rPr>
          <w:rFonts w:eastAsia="Times New Roman" w:cs="Arial"/>
          <w:szCs w:val="24"/>
        </w:rPr>
      </w:pPr>
      <w:r w:rsidRPr="000F5BAC">
        <w:rPr>
          <w:rFonts w:eastAsia="Times New Roman"/>
        </w:rPr>
        <w:t>LICENSED TIMBER OPERATOR</w:t>
      </w:r>
      <w:r w:rsidRPr="000F5BAC">
        <w:t xml:space="preserve"> </w:t>
      </w:r>
      <w:r>
        <w:t>(</w:t>
      </w:r>
      <w:r w:rsidR="00B93C4E" w:rsidRPr="000F5BAC">
        <w:rPr>
          <w:rFonts w:eastAsia="Times New Roman" w:cs="Arial"/>
          <w:szCs w:val="24"/>
        </w:rPr>
        <w:t>LTO</w:t>
      </w:r>
      <w:r>
        <w:rPr>
          <w:rFonts w:eastAsia="Times New Roman" w:cs="Arial"/>
          <w:szCs w:val="24"/>
        </w:rPr>
        <w:t>)</w:t>
      </w:r>
    </w:p>
    <w:p w14:paraId="042C4C39" w14:textId="27B55848" w:rsidR="00B93C4E" w:rsidRPr="000F5BAC" w:rsidRDefault="00B93C4E" w:rsidP="008A1119">
      <w:pPr>
        <w:pStyle w:val="BodyText"/>
        <w:spacing w:before="240" w:after="240"/>
        <w:ind w:left="540"/>
        <w:rPr>
          <w:rFonts w:eastAsia="Times New Roman"/>
        </w:rPr>
      </w:pPr>
      <w:r w:rsidRPr="000F5BAC">
        <w:rPr>
          <w:rFonts w:eastAsia="Times New Roman"/>
        </w:rPr>
        <w:t>Licensed Timber Operator</w:t>
      </w:r>
      <w:r w:rsidR="008E7541" w:rsidRPr="000F5BAC">
        <w:t xml:space="preserve"> </w:t>
      </w:r>
      <w:r w:rsidR="008E7541" w:rsidRPr="000F5BAC">
        <w:rPr>
          <w:rFonts w:eastAsia="Times New Roman"/>
        </w:rPr>
        <w:t xml:space="preserve">"LTO" </w:t>
      </w:r>
      <w:r w:rsidR="008E7541" w:rsidRPr="000F5BAC">
        <w:rPr>
          <w:iCs/>
        </w:rPr>
        <w:t xml:space="preserve">is used herein to </w:t>
      </w:r>
      <w:r w:rsidR="008E7541" w:rsidRPr="000F5BAC">
        <w:rPr>
          <w:color w:val="202124"/>
        </w:rPr>
        <w:t xml:space="preserve">refer to </w:t>
      </w:r>
      <w:r w:rsidR="008E7541" w:rsidRPr="000F5BAC">
        <w:rPr>
          <w:rFonts w:eastAsia="Times New Roman"/>
        </w:rPr>
        <w:t xml:space="preserve">a person who has been licensed under the Forest Practice Act law and </w:t>
      </w:r>
      <w:r w:rsidR="00871128">
        <w:rPr>
          <w:rFonts w:eastAsia="Times New Roman"/>
        </w:rPr>
        <w:t>is</w:t>
      </w:r>
      <w:r w:rsidR="00871128" w:rsidRPr="000F5BAC">
        <w:rPr>
          <w:rFonts w:eastAsia="Times New Roman"/>
        </w:rPr>
        <w:t xml:space="preserve"> </w:t>
      </w:r>
      <w:r w:rsidR="008E7541" w:rsidRPr="000F5BAC">
        <w:rPr>
          <w:rFonts w:eastAsia="Times New Roman"/>
        </w:rPr>
        <w:t xml:space="preserve">authorized to conduct forest tree cutting and removal </w:t>
      </w:r>
      <w:r w:rsidR="0028080C" w:rsidRPr="000F5BAC">
        <w:rPr>
          <w:rFonts w:eastAsia="Times New Roman"/>
        </w:rPr>
        <w:t>O</w:t>
      </w:r>
      <w:r w:rsidR="008E7541" w:rsidRPr="000F5BAC">
        <w:rPr>
          <w:rFonts w:eastAsia="Times New Roman"/>
        </w:rPr>
        <w:t>perations.</w:t>
      </w:r>
    </w:p>
    <w:p w14:paraId="381C2B5F" w14:textId="71A4948E" w:rsidR="006D11D6" w:rsidRPr="000F5BAC" w:rsidRDefault="006D11D6" w:rsidP="006D11D6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NOTICE TO PROCEED</w:t>
      </w:r>
    </w:p>
    <w:p w14:paraId="4ADD5DD5" w14:textId="22ECE46B" w:rsidR="006D11D6" w:rsidRPr="000F5BAC" w:rsidRDefault="006D11D6" w:rsidP="008A1119">
      <w:pPr>
        <w:pStyle w:val="BodyText"/>
        <w:spacing w:before="240" w:after="240"/>
        <w:ind w:left="540"/>
        <w:rPr>
          <w:rFonts w:eastAsia="Times New Roman"/>
        </w:rPr>
      </w:pPr>
      <w:r w:rsidRPr="000F5BAC">
        <w:rPr>
          <w:kern w:val="32"/>
        </w:rPr>
        <w:t xml:space="preserve">A </w:t>
      </w:r>
      <w:r w:rsidRPr="000F5BAC">
        <w:rPr>
          <w:rFonts w:eastAsia="Times New Roman"/>
        </w:rPr>
        <w:t>Notice to Proceed (NTP) is a notification from the User Agency informing the Contractor it shall begin work under the Operation.</w:t>
      </w:r>
    </w:p>
    <w:p w14:paraId="347AFE2E" w14:textId="103C3B2D" w:rsidR="3E388989" w:rsidRPr="000F5BAC" w:rsidRDefault="3E388989" w:rsidP="1A89B3C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MANAGEMENT STAFF</w:t>
      </w:r>
    </w:p>
    <w:p w14:paraId="123ECD44" w14:textId="64424177" w:rsidR="3E388989" w:rsidRPr="000F5BAC" w:rsidRDefault="3E388989" w:rsidP="1A89B3C9">
      <w:pPr>
        <w:pStyle w:val="BodyText"/>
        <w:spacing w:before="240" w:after="240"/>
        <w:ind w:left="540"/>
      </w:pPr>
      <w:r w:rsidRPr="000F5BAC">
        <w:t xml:space="preserve">Contractor or </w:t>
      </w:r>
      <w:r w:rsidR="009C5A87" w:rsidRPr="000F5BAC">
        <w:t>Subcontractor</w:t>
      </w:r>
      <w:r w:rsidRPr="000F5BAC">
        <w:t xml:space="preserve"> staff responsible for oversight and management of </w:t>
      </w:r>
      <w:r w:rsidR="009C5A87" w:rsidRPr="000F5BAC">
        <w:t>C</w:t>
      </w:r>
      <w:r w:rsidR="30A84669" w:rsidRPr="000F5BAC">
        <w:t>ontractor</w:t>
      </w:r>
      <w:r w:rsidRPr="000F5BAC">
        <w:t xml:space="preserve"> or </w:t>
      </w:r>
      <w:r w:rsidR="009C5A87" w:rsidRPr="000F5BAC">
        <w:t>Subcontractor</w:t>
      </w:r>
      <w:r w:rsidRPr="000F5BAC">
        <w:t xml:space="preserve"> staff</w:t>
      </w:r>
      <w:r w:rsidR="242CAC0D" w:rsidRPr="000F5BAC">
        <w:t xml:space="preserve"> conducting specific operational or scientific</w:t>
      </w:r>
      <w:r w:rsidR="2FA71283" w:rsidRPr="000F5BAC">
        <w:t xml:space="preserve"> </w:t>
      </w:r>
      <w:r w:rsidR="4E9F9E33" w:rsidRPr="000F5BAC">
        <w:t>related</w:t>
      </w:r>
      <w:r w:rsidR="242CAC0D" w:rsidRPr="000F5BAC">
        <w:t xml:space="preserve"> tasks as described in the RFP.</w:t>
      </w:r>
      <w:r w:rsidR="009C5A87" w:rsidRPr="000F5BAC">
        <w:t xml:space="preserve">  </w:t>
      </w:r>
      <w:r w:rsidR="376EEB68" w:rsidRPr="000F5BAC">
        <w:t>This includes</w:t>
      </w:r>
      <w:r w:rsidR="6E4BF7B4" w:rsidRPr="000F5BAC">
        <w:t xml:space="preserve"> but is not limited to the Program Manager, Incident Commander. Operations Section Chief, </w:t>
      </w:r>
      <w:r w:rsidR="1E6EAE67" w:rsidRPr="000F5BAC">
        <w:t xml:space="preserve">Branch Directors, </w:t>
      </w:r>
      <w:r w:rsidR="6E4BF7B4" w:rsidRPr="000F5BAC">
        <w:t xml:space="preserve">Planning Section Chief, Finance Chief, </w:t>
      </w:r>
      <w:r w:rsidR="042CA2AF" w:rsidRPr="000F5BAC">
        <w:t xml:space="preserve">Lead RPF, </w:t>
      </w:r>
      <w:r w:rsidR="7DC120FF" w:rsidRPr="000F5BAC">
        <w:t>Lead CAC, Environmental Group M</w:t>
      </w:r>
      <w:r w:rsidR="3C660631" w:rsidRPr="000F5BAC">
        <w:t>a</w:t>
      </w:r>
      <w:r w:rsidR="7DC120FF" w:rsidRPr="000F5BAC">
        <w:t>nager, Environmental Group</w:t>
      </w:r>
      <w:r w:rsidR="4BB5458F" w:rsidRPr="000F5BAC">
        <w:t xml:space="preserve"> </w:t>
      </w:r>
      <w:r w:rsidR="7DC120FF" w:rsidRPr="000F5BAC">
        <w:t xml:space="preserve">Supervisors, </w:t>
      </w:r>
      <w:r w:rsidR="746B2944" w:rsidRPr="000F5BAC">
        <w:t xml:space="preserve">and </w:t>
      </w:r>
      <w:r w:rsidR="48AD995B" w:rsidRPr="000F5BAC">
        <w:t>Data/Packet Manager</w:t>
      </w:r>
      <w:r w:rsidR="2A7E4627" w:rsidRPr="000F5BAC">
        <w:t>)</w:t>
      </w:r>
      <w:r w:rsidR="009C5A87" w:rsidRPr="000F5BAC">
        <w:t>.</w:t>
      </w:r>
    </w:p>
    <w:p w14:paraId="5EFFA7EB" w14:textId="0CA81012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lastRenderedPageBreak/>
        <w:t>OPERATION</w:t>
      </w:r>
    </w:p>
    <w:p w14:paraId="10D9D6F6" w14:textId="6074CFFB" w:rsidR="0083459C" w:rsidRPr="000F5BAC" w:rsidRDefault="0083459C" w:rsidP="008A1119">
      <w:pPr>
        <w:pStyle w:val="BodyText"/>
        <w:spacing w:before="240" w:after="240"/>
        <w:ind w:left="540"/>
      </w:pPr>
      <w:r w:rsidRPr="000F5BAC">
        <w:t xml:space="preserve">The full scope of </w:t>
      </w:r>
      <w:r w:rsidR="008E7541" w:rsidRPr="000F5BAC">
        <w:t>Assessment and Monitoring Services for Disaster Debris and Hazard Tree Removal</w:t>
      </w:r>
      <w:r w:rsidRPr="000F5BAC">
        <w:t xml:space="preserve">, including that described in Exhibit </w:t>
      </w:r>
      <w:r w:rsidR="004B1871" w:rsidRPr="000F5BAC">
        <w:t>A.1, Special Provisions</w:t>
      </w:r>
      <w:r w:rsidRPr="000F5BAC">
        <w:t xml:space="preserve"> and additional services performed by other </w:t>
      </w:r>
      <w:r w:rsidR="00750AE5" w:rsidRPr="000F5BAC">
        <w:t>C</w:t>
      </w:r>
      <w:r w:rsidRPr="000F5BAC">
        <w:t xml:space="preserve">ontractors or </w:t>
      </w:r>
      <w:r w:rsidR="00750AE5" w:rsidRPr="000F5BAC">
        <w:t>G</w:t>
      </w:r>
      <w:r w:rsidRPr="000F5BAC">
        <w:t xml:space="preserve">overnment </w:t>
      </w:r>
      <w:r w:rsidR="00750AE5" w:rsidRPr="000F5BAC">
        <w:t>A</w:t>
      </w:r>
      <w:r w:rsidRPr="000F5BAC">
        <w:t>gencies necessary.</w:t>
      </w:r>
    </w:p>
    <w:p w14:paraId="7F15B4FD" w14:textId="34A63167" w:rsidR="6519E7FF" w:rsidRPr="000F5BAC" w:rsidRDefault="6519E7FF">
      <w:pPr>
        <w:pStyle w:val="Heading2"/>
        <w:ind w:left="540" w:hanging="540"/>
        <w:rPr>
          <w:rFonts w:eastAsiaTheme="minorEastAsia" w:cs="Arial"/>
          <w:szCs w:val="24"/>
        </w:rPr>
      </w:pPr>
      <w:r w:rsidRPr="000F5BAC">
        <w:rPr>
          <w:rFonts w:cs="Arial"/>
          <w:szCs w:val="24"/>
        </w:rPr>
        <w:t>OPERATION SECTION CHIEF</w:t>
      </w:r>
    </w:p>
    <w:p w14:paraId="5D64968C" w14:textId="06359F6C" w:rsidR="150AA88C" w:rsidRPr="001853D6" w:rsidRDefault="150AA88C" w:rsidP="009C009F">
      <w:pPr>
        <w:ind w:left="540"/>
        <w:rPr>
          <w:b/>
          <w:bCs/>
          <w:strike/>
          <w:color w:val="FF0000"/>
          <w:sz w:val="24"/>
          <w:szCs w:val="24"/>
        </w:rPr>
      </w:pPr>
      <w:r w:rsidRPr="00CB4BA5">
        <w:rPr>
          <w:sz w:val="24"/>
          <w:szCs w:val="24"/>
        </w:rPr>
        <w:t xml:space="preserve">Conducts operations to reach the incident objectives. Establishes the tactics and directs all operational resources. </w:t>
      </w:r>
      <w:r w:rsidR="6519E7FF" w:rsidRPr="00CB4BA5">
        <w:rPr>
          <w:sz w:val="24"/>
          <w:szCs w:val="24"/>
        </w:rPr>
        <w:t>Oversees and directs all tactical staff and Operations for the Assessment and Monitoring Services for Debris and Hazard Tree Removal.</w:t>
      </w:r>
      <w:r w:rsidR="001853D6" w:rsidRPr="00CB4BA5">
        <w:rPr>
          <w:sz w:val="24"/>
          <w:szCs w:val="24"/>
        </w:rPr>
        <w:t xml:space="preserve">  </w:t>
      </w:r>
    </w:p>
    <w:p w14:paraId="7FCD7C8F" w14:textId="7228F47F" w:rsidR="13F83719" w:rsidRPr="000F5BAC" w:rsidRDefault="13F83719" w:rsidP="1A89B3C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OPERATIONAL STAFF</w:t>
      </w:r>
    </w:p>
    <w:p w14:paraId="018144A3" w14:textId="08D9EF78" w:rsidR="13F83719" w:rsidRPr="001014FE" w:rsidRDefault="00CB4BA5" w:rsidP="1A89B3C9">
      <w:pPr>
        <w:ind w:left="540"/>
        <w:rPr>
          <w:sz w:val="24"/>
          <w:szCs w:val="24"/>
        </w:rPr>
      </w:pPr>
      <w:r w:rsidRPr="001014FE">
        <w:rPr>
          <w:sz w:val="24"/>
          <w:szCs w:val="24"/>
        </w:rPr>
        <w:t>Contractor staff and/or Subcontractor staff excluding finance, accounting, and GIS staff.  Includes all staff that will be working in the field for the majority of the time during an operation.</w:t>
      </w:r>
    </w:p>
    <w:p w14:paraId="1E6371F9" w14:textId="7619064A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PROJECT</w:t>
      </w:r>
    </w:p>
    <w:p w14:paraId="68182ADB" w14:textId="0A652528" w:rsidR="0083459C" w:rsidRPr="000F5BAC" w:rsidRDefault="004B1871" w:rsidP="008A1119">
      <w:pPr>
        <w:pStyle w:val="BodyText"/>
        <w:spacing w:before="240" w:after="240"/>
        <w:ind w:left="540"/>
      </w:pPr>
      <w:r w:rsidRPr="000F5BAC">
        <w:t>Refer to</w:t>
      </w:r>
      <w:r w:rsidR="0083459C" w:rsidRPr="000F5BAC">
        <w:t xml:space="preserve"> </w:t>
      </w:r>
      <w:r w:rsidR="002556FF" w:rsidRPr="000F5BAC">
        <w:t>“</w:t>
      </w:r>
      <w:r w:rsidR="0083459C" w:rsidRPr="000F5BAC">
        <w:t>Operation</w:t>
      </w:r>
      <w:r w:rsidR="002556FF" w:rsidRPr="000F5BAC">
        <w:t>”</w:t>
      </w:r>
      <w:r w:rsidR="00D6185A" w:rsidRPr="000F5BAC">
        <w:t>.</w:t>
      </w:r>
    </w:p>
    <w:p w14:paraId="16B2EE14" w14:textId="287D9FB3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PROPERTY</w:t>
      </w:r>
    </w:p>
    <w:p w14:paraId="6964358D" w14:textId="77777777" w:rsidR="0083459C" w:rsidRPr="000F5BAC" w:rsidRDefault="0083459C" w:rsidP="008A1119">
      <w:pPr>
        <w:spacing w:before="240" w:after="240"/>
        <w:ind w:left="540"/>
        <w:rPr>
          <w:sz w:val="24"/>
          <w:szCs w:val="24"/>
        </w:rPr>
      </w:pPr>
      <w:r w:rsidRPr="000F5BAC">
        <w:rPr>
          <w:sz w:val="24"/>
          <w:szCs w:val="24"/>
        </w:rPr>
        <w:t>A parcel of land owned by a resident, commercial, industrial, or public entity.</w:t>
      </w:r>
    </w:p>
    <w:p w14:paraId="4873E5E7" w14:textId="400C865C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RIGHT</w:t>
      </w:r>
      <w:r w:rsidR="00FA417D" w:rsidRPr="000F5BAC">
        <w:rPr>
          <w:rFonts w:cs="Arial"/>
          <w:szCs w:val="24"/>
        </w:rPr>
        <w:t>-OF-</w:t>
      </w:r>
      <w:r w:rsidRPr="000F5BAC">
        <w:rPr>
          <w:rFonts w:cs="Arial"/>
          <w:szCs w:val="24"/>
        </w:rPr>
        <w:t>WAY (ROW)</w:t>
      </w:r>
    </w:p>
    <w:p w14:paraId="2147BD37" w14:textId="611E520B" w:rsidR="0083459C" w:rsidRPr="000F5BAC" w:rsidRDefault="0083459C" w:rsidP="008A1119">
      <w:pPr>
        <w:pStyle w:val="BodyText"/>
        <w:spacing w:before="240" w:after="240"/>
        <w:ind w:left="540"/>
        <w:rPr>
          <w:iCs/>
        </w:rPr>
      </w:pPr>
      <w:r w:rsidRPr="000F5BAC">
        <w:rPr>
          <w:iCs/>
        </w:rPr>
        <w:t>“Right-of-way” generally means that portion of real property granted to a public or quasi-public entity to utilize said property for public street, drainage, or utility purposes.</w:t>
      </w:r>
    </w:p>
    <w:p w14:paraId="2A843359" w14:textId="6C2134AE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RIGHT</w:t>
      </w:r>
      <w:r w:rsidR="00FA417D" w:rsidRPr="000F5BAC">
        <w:rPr>
          <w:rFonts w:cs="Arial"/>
          <w:szCs w:val="24"/>
        </w:rPr>
        <w:t>-</w:t>
      </w:r>
      <w:r w:rsidRPr="000F5BAC">
        <w:rPr>
          <w:rFonts w:cs="Arial"/>
          <w:szCs w:val="24"/>
        </w:rPr>
        <w:t>OF</w:t>
      </w:r>
      <w:r w:rsidR="00FA417D" w:rsidRPr="000F5BAC">
        <w:rPr>
          <w:rFonts w:cs="Arial"/>
          <w:szCs w:val="24"/>
        </w:rPr>
        <w:t>-</w:t>
      </w:r>
      <w:r w:rsidRPr="000F5BAC">
        <w:rPr>
          <w:rFonts w:cs="Arial"/>
          <w:szCs w:val="24"/>
        </w:rPr>
        <w:t>WAY SEGMENT</w:t>
      </w:r>
    </w:p>
    <w:p w14:paraId="2CB29EBF" w14:textId="46F713E1" w:rsidR="0083459C" w:rsidRPr="000F5BAC" w:rsidRDefault="0083459C" w:rsidP="008A1119">
      <w:pPr>
        <w:pStyle w:val="BodyText"/>
        <w:spacing w:before="240" w:after="240"/>
        <w:ind w:left="540"/>
      </w:pPr>
      <w:r w:rsidRPr="000F5BAC">
        <w:t xml:space="preserve">A reasonable </w:t>
      </w:r>
      <w:r w:rsidR="00ED771E" w:rsidRPr="000F5BAC">
        <w:t>O</w:t>
      </w:r>
      <w:r w:rsidRPr="000F5BAC">
        <w:t>perational portion of a public right</w:t>
      </w:r>
      <w:r w:rsidR="002556FF" w:rsidRPr="000F5BAC">
        <w:t>-</w:t>
      </w:r>
      <w:r w:rsidRPr="000F5BAC">
        <w:t>of</w:t>
      </w:r>
      <w:r w:rsidR="002556FF" w:rsidRPr="000F5BAC">
        <w:t>-</w:t>
      </w:r>
      <w:r w:rsidRPr="000F5BAC">
        <w:t>way.</w:t>
      </w:r>
    </w:p>
    <w:p w14:paraId="778B0210" w14:textId="1EF0F3DC" w:rsidR="0083459C" w:rsidRPr="008F2F3E" w:rsidRDefault="00FA417D" w:rsidP="008A1119">
      <w:pPr>
        <w:pStyle w:val="Heading2"/>
        <w:ind w:left="540" w:hanging="540"/>
        <w:rPr>
          <w:rFonts w:eastAsia="Times New Roman" w:cs="Arial"/>
          <w:szCs w:val="24"/>
        </w:rPr>
      </w:pPr>
      <w:r w:rsidRPr="008F2F3E">
        <w:rPr>
          <w:rFonts w:eastAsia="Times New Roman" w:cs="Arial"/>
          <w:szCs w:val="24"/>
        </w:rPr>
        <w:t xml:space="preserve">RIGHT-OF-ENTRY </w:t>
      </w:r>
      <w:r w:rsidR="00B91355" w:rsidRPr="008F2F3E">
        <w:rPr>
          <w:rFonts w:eastAsia="Times New Roman" w:cs="Arial"/>
          <w:szCs w:val="24"/>
        </w:rPr>
        <w:t xml:space="preserve">PERMIT </w:t>
      </w:r>
      <w:r w:rsidR="00181438" w:rsidRPr="008F2F3E">
        <w:rPr>
          <w:rFonts w:eastAsia="Times New Roman" w:cs="Arial"/>
          <w:szCs w:val="24"/>
        </w:rPr>
        <w:t>(</w:t>
      </w:r>
      <w:r w:rsidR="0083459C" w:rsidRPr="008F2F3E">
        <w:rPr>
          <w:rFonts w:eastAsia="Times New Roman" w:cs="Arial"/>
          <w:szCs w:val="24"/>
        </w:rPr>
        <w:t>ROE</w:t>
      </w:r>
      <w:r w:rsidR="00181438" w:rsidRPr="008F2F3E">
        <w:rPr>
          <w:rFonts w:eastAsia="Times New Roman" w:cs="Arial"/>
          <w:szCs w:val="24"/>
        </w:rPr>
        <w:t>)</w:t>
      </w:r>
    </w:p>
    <w:p w14:paraId="2ADB0D5C" w14:textId="21DB36E6" w:rsidR="0083459C" w:rsidRPr="008F2F3E" w:rsidRDefault="00B91355" w:rsidP="008A1119">
      <w:pPr>
        <w:pStyle w:val="BodyText"/>
        <w:spacing w:before="240" w:after="240"/>
        <w:ind w:left="540"/>
        <w:rPr>
          <w:rFonts w:eastAsia="Times New Roman"/>
          <w:bCs/>
        </w:rPr>
      </w:pPr>
      <w:r w:rsidRPr="008F2F3E">
        <w:rPr>
          <w:rFonts w:eastAsia="Times New Roman"/>
          <w:bCs/>
        </w:rPr>
        <w:t xml:space="preserve">A Right of Entry Permits is a legal agreement executed by a landowner allowing the User Agency, A&amp;M Contractor, and DDHTR Contractor to perform debris removal activities on a certain parcel of land.  </w:t>
      </w:r>
    </w:p>
    <w:p w14:paraId="770864FA" w14:textId="5911151F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lastRenderedPageBreak/>
        <w:t>SCOPE OF WORK (SOW)</w:t>
      </w:r>
    </w:p>
    <w:p w14:paraId="1816CCF9" w14:textId="5495B07C" w:rsidR="0083459C" w:rsidRPr="000F5BAC" w:rsidRDefault="0083459C" w:rsidP="008A1119">
      <w:pPr>
        <w:pStyle w:val="BodyText"/>
        <w:spacing w:before="240" w:after="240"/>
        <w:ind w:left="540"/>
      </w:pPr>
      <w:r w:rsidRPr="000F5BAC">
        <w:t xml:space="preserve">The description of work required of a </w:t>
      </w:r>
      <w:r w:rsidR="00750AE5" w:rsidRPr="000F5BAC">
        <w:t>C</w:t>
      </w:r>
      <w:r w:rsidRPr="000F5BAC">
        <w:t xml:space="preserve">ontractor by the awarding </w:t>
      </w:r>
      <w:r w:rsidR="00750AE5" w:rsidRPr="000F5BAC">
        <w:t>A</w:t>
      </w:r>
      <w:r w:rsidRPr="000F5BAC">
        <w:t>gency.</w:t>
      </w:r>
    </w:p>
    <w:p w14:paraId="5E41039C" w14:textId="195505E5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SECTION 106</w:t>
      </w:r>
    </w:p>
    <w:p w14:paraId="7F3471E0" w14:textId="5FB4F5FC" w:rsidR="0083459C" w:rsidRPr="000F5BAC" w:rsidRDefault="0083459C" w:rsidP="008A1119">
      <w:pPr>
        <w:pStyle w:val="BodyText"/>
        <w:spacing w:before="240" w:after="240"/>
        <w:ind w:left="540"/>
      </w:pPr>
      <w:r w:rsidRPr="000F5BAC">
        <w:t xml:space="preserve">Section 106 of the National Historic Preservation Act and all associated statutes and regulations, including 36 CFR </w:t>
      </w:r>
      <w:r w:rsidR="00181438" w:rsidRPr="000F5BAC">
        <w:t>61</w:t>
      </w:r>
      <w:r w:rsidRPr="000F5BAC">
        <w:rPr>
          <w:i/>
          <w:iCs/>
        </w:rPr>
        <w:t>.</w:t>
      </w:r>
    </w:p>
    <w:p w14:paraId="4CA5F4A5" w14:textId="329409B4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SITE</w:t>
      </w:r>
    </w:p>
    <w:p w14:paraId="15A74280" w14:textId="0A79D9DA" w:rsidR="0083459C" w:rsidRPr="000F5BAC" w:rsidRDefault="0083459C" w:rsidP="008A1119">
      <w:pPr>
        <w:pStyle w:val="BodyText"/>
        <w:spacing w:before="240" w:after="240"/>
        <w:ind w:left="540"/>
      </w:pPr>
      <w:r w:rsidRPr="000F5BAC">
        <w:t xml:space="preserve">A building or facility, or group of contiguous buildings or facilities with common ownership and within a single APN. </w:t>
      </w:r>
      <w:r w:rsidR="007068D9" w:rsidRPr="000F5BAC">
        <w:t xml:space="preserve"> </w:t>
      </w:r>
      <w:r w:rsidRPr="000F5BAC">
        <w:t>A Site may include a “Property,” “Lot,” or “APN” as defined in this Agreement [modified, 19 CCR 2900(gg)]</w:t>
      </w:r>
      <w:r w:rsidR="007068D9" w:rsidRPr="000F5BAC">
        <w:t>.</w:t>
      </w:r>
    </w:p>
    <w:p w14:paraId="69DB2745" w14:textId="5F5CC5AB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SMALL BUSINESS (CERTIFIED)</w:t>
      </w:r>
    </w:p>
    <w:p w14:paraId="177E5F81" w14:textId="34510964" w:rsidR="0083459C" w:rsidRPr="000F5BAC" w:rsidRDefault="0083459C" w:rsidP="008A1119">
      <w:pPr>
        <w:pStyle w:val="BodyText"/>
        <w:spacing w:before="240" w:after="240"/>
        <w:ind w:left="540" w:right="0"/>
      </w:pPr>
      <w:r w:rsidRPr="000F5BAC">
        <w:t xml:space="preserve">A business that has been certified by </w:t>
      </w:r>
      <w:r w:rsidR="003028B3">
        <w:t>DGS-PD</w:t>
      </w:r>
      <w:r w:rsidRPr="000F5BAC">
        <w:t>, Office of Small Business and DVBE Services (OSDS), as a small business as defined in GC 14837 and 2 CCR 1896</w:t>
      </w:r>
      <w:r w:rsidR="002E5E71" w:rsidRPr="000F5BAC">
        <w:t xml:space="preserve"> et seq.</w:t>
      </w:r>
    </w:p>
    <w:p w14:paraId="461BC896" w14:textId="0B62491C" w:rsidR="00E12208" w:rsidRPr="000F5BAC" w:rsidRDefault="00E12208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STATE</w:t>
      </w:r>
    </w:p>
    <w:p w14:paraId="1D2F8ADC" w14:textId="40F32737" w:rsidR="00F80833" w:rsidRPr="000F5BAC" w:rsidRDefault="009910C6" w:rsidP="00E12208">
      <w:pPr>
        <w:ind w:left="540"/>
        <w:rPr>
          <w:sz w:val="24"/>
          <w:szCs w:val="24"/>
        </w:rPr>
      </w:pPr>
      <w:r w:rsidRPr="000F5BAC">
        <w:rPr>
          <w:sz w:val="24"/>
          <w:szCs w:val="24"/>
        </w:rPr>
        <w:t>U</w:t>
      </w:r>
      <w:r w:rsidR="00F80833" w:rsidRPr="000F5BAC">
        <w:rPr>
          <w:sz w:val="24"/>
          <w:szCs w:val="24"/>
        </w:rPr>
        <w:t>nder the Master Service Agreement (MSA)</w:t>
      </w:r>
      <w:r w:rsidRPr="000F5BAC">
        <w:rPr>
          <w:sz w:val="24"/>
          <w:szCs w:val="24"/>
        </w:rPr>
        <w:t>,</w:t>
      </w:r>
      <w:r w:rsidR="008A6B38" w:rsidRPr="000F5BAC">
        <w:rPr>
          <w:sz w:val="24"/>
          <w:szCs w:val="24"/>
        </w:rPr>
        <w:t xml:space="preserve"> the term</w:t>
      </w:r>
      <w:r w:rsidRPr="000F5BAC">
        <w:rPr>
          <w:sz w:val="24"/>
          <w:szCs w:val="24"/>
        </w:rPr>
        <w:t xml:space="preserve"> “State” refers to </w:t>
      </w:r>
      <w:r w:rsidR="008A6B38" w:rsidRPr="000F5BAC">
        <w:rPr>
          <w:sz w:val="24"/>
          <w:szCs w:val="24"/>
        </w:rPr>
        <w:t>all</w:t>
      </w:r>
      <w:r w:rsidRPr="000F5BAC">
        <w:rPr>
          <w:sz w:val="24"/>
          <w:szCs w:val="24"/>
        </w:rPr>
        <w:t xml:space="preserve"> State of California Agenc</w:t>
      </w:r>
      <w:r w:rsidR="008A6B38" w:rsidRPr="000F5BAC">
        <w:rPr>
          <w:sz w:val="24"/>
          <w:szCs w:val="24"/>
        </w:rPr>
        <w:t>ies specified on the California State Portal</w:t>
      </w:r>
      <w:r w:rsidR="008D7462" w:rsidRPr="000F5BAC">
        <w:rPr>
          <w:sz w:val="24"/>
          <w:szCs w:val="24"/>
        </w:rPr>
        <w:t>,</w:t>
      </w:r>
      <w:r w:rsidR="008A6B38" w:rsidRPr="000F5BAC">
        <w:rPr>
          <w:sz w:val="24"/>
          <w:szCs w:val="24"/>
        </w:rPr>
        <w:t xml:space="preserve"> </w:t>
      </w:r>
      <w:hyperlink r:id="rId11" w:history="1">
        <w:r w:rsidR="008A6B38" w:rsidRPr="000F5BAC">
          <w:rPr>
            <w:rStyle w:val="Hyperlink"/>
            <w:sz w:val="24"/>
            <w:szCs w:val="24"/>
          </w:rPr>
          <w:t>State Agency Listing</w:t>
        </w:r>
      </w:hyperlink>
      <w:r w:rsidR="008A6B38" w:rsidRPr="000F5BAC">
        <w:rPr>
          <w:sz w:val="24"/>
          <w:szCs w:val="24"/>
        </w:rPr>
        <w:t xml:space="preserve"> (https://www.ca.gov/agenciesall/)</w:t>
      </w:r>
      <w:r w:rsidR="00F80833" w:rsidRPr="000F5BAC">
        <w:rPr>
          <w:sz w:val="24"/>
          <w:szCs w:val="24"/>
        </w:rPr>
        <w:t>.</w:t>
      </w:r>
    </w:p>
    <w:p w14:paraId="0EF65CF3" w14:textId="5E7A5492" w:rsidR="0083459C" w:rsidRPr="000F5BAC" w:rsidRDefault="009C5A87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SUBCONTRACTOR</w:t>
      </w:r>
    </w:p>
    <w:p w14:paraId="1C589B10" w14:textId="2A135D3B" w:rsidR="0083459C" w:rsidRPr="000F5BAC" w:rsidRDefault="0083459C" w:rsidP="008A1119">
      <w:pPr>
        <w:pStyle w:val="BodyText"/>
        <w:spacing w:before="240" w:after="240"/>
        <w:ind w:left="540"/>
      </w:pPr>
      <w:r w:rsidRPr="000F5BAC">
        <w:t>A person or entity which contracts with the Contractor to perform all or a portion of the work</w:t>
      </w:r>
      <w:r w:rsidR="00E0223F" w:rsidRPr="000F5BAC">
        <w:t>.</w:t>
      </w:r>
    </w:p>
    <w:p w14:paraId="6C13A45D" w14:textId="4062E617" w:rsidR="00B93C4E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 xml:space="preserve">TITLE 22 </w:t>
      </w:r>
      <w:r w:rsidR="00E0223F" w:rsidRPr="000F5BAC">
        <w:rPr>
          <w:rFonts w:cs="Arial"/>
          <w:szCs w:val="24"/>
        </w:rPr>
        <w:t>METALS</w:t>
      </w:r>
    </w:p>
    <w:p w14:paraId="208B2492" w14:textId="5D3C201A" w:rsidR="001F5C81" w:rsidRPr="000F5BAC" w:rsidRDefault="001F5C81" w:rsidP="008A1119">
      <w:pPr>
        <w:pStyle w:val="BodyText"/>
        <w:spacing w:before="240" w:after="240"/>
        <w:ind w:left="540" w:right="0"/>
      </w:pPr>
      <w:r w:rsidRPr="000F5BAC">
        <w:t>California Code of Regulation (CCR) Title 22</w:t>
      </w:r>
      <w:r w:rsidR="2A506005" w:rsidRPr="000F5BAC">
        <w:t>, Division 4.5</w:t>
      </w:r>
      <w:r w:rsidRPr="000F5BAC">
        <w:t xml:space="preserve"> </w:t>
      </w:r>
      <w:r w:rsidR="00BE48DC" w:rsidRPr="000F5BAC">
        <w:t>(</w:t>
      </w:r>
      <w:r w:rsidR="00213F4C" w:rsidRPr="000F5BAC">
        <w:t xml:space="preserve">also known as the California Administrative Manual </w:t>
      </w:r>
      <w:r w:rsidR="009C5A87" w:rsidRPr="000F5BAC">
        <w:t>(</w:t>
      </w:r>
      <w:r w:rsidR="00BE48DC" w:rsidRPr="000F5BAC">
        <w:t>CAM</w:t>
      </w:r>
      <w:r w:rsidR="00900A0A" w:rsidRPr="000F5BAC">
        <w:t>))</w:t>
      </w:r>
      <w:r w:rsidR="000F5BAC" w:rsidRPr="000F5BAC">
        <w:t xml:space="preserve"> refers to</w:t>
      </w:r>
      <w:r w:rsidR="00900A0A" w:rsidRPr="000F5BAC">
        <w:t xml:space="preserve"> CAM 17 metals</w:t>
      </w:r>
      <w:r w:rsidR="000F5BAC" w:rsidRPr="000F5BAC">
        <w:t xml:space="preserve"> which</w:t>
      </w:r>
      <w:r w:rsidRPr="000F5BAC">
        <w:t xml:space="preserve"> include</w:t>
      </w:r>
      <w:r w:rsidR="00213F4C" w:rsidRPr="000F5BAC">
        <w:t>:</w:t>
      </w:r>
      <w:r w:rsidRPr="000F5BAC">
        <w:t xml:space="preserve"> antimony, arsenic, barium, beryllium, cadmium, chromium, cobalt, copper, lead, mercury, molybdenum, nickel, selenium, silver, thallium, </w:t>
      </w:r>
      <w:r w:rsidR="00FD4BF4" w:rsidRPr="000F5BAC">
        <w:t>vanadium,</w:t>
      </w:r>
      <w:r w:rsidRPr="000F5BAC">
        <w:t xml:space="preserve"> and zinc</w:t>
      </w:r>
      <w:r w:rsidR="00213F4C" w:rsidRPr="000F5BAC">
        <w:t>.</w:t>
      </w:r>
    </w:p>
    <w:p w14:paraId="002AC319" w14:textId="2B2643AE" w:rsidR="00F72485" w:rsidRPr="000F5BAC" w:rsidRDefault="00F72485" w:rsidP="00F72485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USER AGREEMENT</w:t>
      </w:r>
    </w:p>
    <w:p w14:paraId="12129539" w14:textId="5EC0C54A" w:rsidR="00F72485" w:rsidRPr="000F5BAC" w:rsidRDefault="00662900" w:rsidP="008A1119">
      <w:pPr>
        <w:pStyle w:val="BodyText"/>
        <w:spacing w:before="240" w:after="240"/>
        <w:ind w:left="540" w:right="0"/>
      </w:pPr>
      <w:r w:rsidRPr="000F5BAC">
        <w:t xml:space="preserve">An </w:t>
      </w:r>
      <w:r w:rsidR="00750AE5" w:rsidRPr="000F5BAC">
        <w:t>A</w:t>
      </w:r>
      <w:r w:rsidRPr="000F5BAC">
        <w:t xml:space="preserve">greement between a User Agency and </w:t>
      </w:r>
      <w:r w:rsidR="00750AE5" w:rsidRPr="000F5BAC">
        <w:t>Co</w:t>
      </w:r>
      <w:r w:rsidRPr="000F5BAC">
        <w:t>ntractor</w:t>
      </w:r>
      <w:r w:rsidR="008E7541" w:rsidRPr="000F5BAC">
        <w:t>(s)</w:t>
      </w:r>
      <w:r w:rsidRPr="000F5BAC">
        <w:t xml:space="preserve"> </w:t>
      </w:r>
      <w:r w:rsidR="008E7541" w:rsidRPr="000F5BAC">
        <w:t xml:space="preserve">to </w:t>
      </w:r>
      <w:r w:rsidRPr="000F5BAC">
        <w:t>provid</w:t>
      </w:r>
      <w:r w:rsidR="008E7541" w:rsidRPr="000F5BAC">
        <w:t>e</w:t>
      </w:r>
      <w:r w:rsidRPr="000F5BAC">
        <w:t xml:space="preserve"> services </w:t>
      </w:r>
      <w:r w:rsidR="008E7541" w:rsidRPr="000F5BAC">
        <w:t>under</w:t>
      </w:r>
      <w:r w:rsidR="00F80833" w:rsidRPr="000F5BAC">
        <w:t xml:space="preserve"> the</w:t>
      </w:r>
      <w:r w:rsidRPr="000F5BAC">
        <w:t xml:space="preserve"> </w:t>
      </w:r>
      <w:r w:rsidR="00F80833" w:rsidRPr="000F5BAC">
        <w:t>MSA.</w:t>
      </w:r>
    </w:p>
    <w:p w14:paraId="10D7561E" w14:textId="77777777" w:rsidR="00E0223F" w:rsidRPr="000F5BAC" w:rsidRDefault="00E0223F" w:rsidP="00E0223F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lastRenderedPageBreak/>
        <w:t>WORKDAY</w:t>
      </w:r>
    </w:p>
    <w:p w14:paraId="6906FAC8" w14:textId="6655C8C6" w:rsidR="0083459C" w:rsidRPr="000F5BAC" w:rsidRDefault="0083459C" w:rsidP="008A1119">
      <w:pPr>
        <w:spacing w:before="240" w:after="240"/>
        <w:ind w:left="540"/>
        <w:rPr>
          <w:sz w:val="24"/>
          <w:szCs w:val="24"/>
        </w:rPr>
      </w:pPr>
      <w:r w:rsidRPr="008F2F3E">
        <w:rPr>
          <w:sz w:val="24"/>
          <w:szCs w:val="24"/>
        </w:rPr>
        <w:t xml:space="preserve">For the purposes of this </w:t>
      </w:r>
      <w:r w:rsidR="00E9382B" w:rsidRPr="008F2F3E">
        <w:rPr>
          <w:sz w:val="24"/>
          <w:szCs w:val="24"/>
        </w:rPr>
        <w:t>MSA</w:t>
      </w:r>
      <w:r w:rsidRPr="008F2F3E">
        <w:rPr>
          <w:sz w:val="24"/>
          <w:szCs w:val="24"/>
        </w:rPr>
        <w:t xml:space="preserve">, a workday includes </w:t>
      </w:r>
      <w:r w:rsidR="00E9382B" w:rsidRPr="008F2F3E">
        <w:rPr>
          <w:sz w:val="24"/>
          <w:szCs w:val="24"/>
        </w:rPr>
        <w:t xml:space="preserve">Monday thru Saturday, including state holidays. A workday is defined as all hours necessary to support </w:t>
      </w:r>
      <w:r w:rsidRPr="008F2F3E">
        <w:rPr>
          <w:sz w:val="24"/>
          <w:szCs w:val="24"/>
        </w:rPr>
        <w:t xml:space="preserve">daily on-site </w:t>
      </w:r>
      <w:r w:rsidR="00B42D50" w:rsidRPr="008F2F3E">
        <w:rPr>
          <w:sz w:val="24"/>
          <w:szCs w:val="24"/>
        </w:rPr>
        <w:t>O</w:t>
      </w:r>
      <w:r w:rsidRPr="008F2F3E">
        <w:rPr>
          <w:sz w:val="24"/>
          <w:szCs w:val="24"/>
        </w:rPr>
        <w:t>perations, including, but not limited to, health and safety briefings, beginning and end of shift briefings, and all-hands safety meetings.</w:t>
      </w:r>
      <w:r w:rsidR="007068D9" w:rsidRPr="008F2F3E">
        <w:rPr>
          <w:sz w:val="24"/>
          <w:szCs w:val="24"/>
        </w:rPr>
        <w:t xml:space="preserve"> </w:t>
      </w:r>
      <w:r w:rsidRPr="008F2F3E">
        <w:rPr>
          <w:sz w:val="24"/>
          <w:szCs w:val="24"/>
        </w:rPr>
        <w:t xml:space="preserve"> </w:t>
      </w:r>
      <w:r w:rsidRPr="000F5BAC">
        <w:rPr>
          <w:sz w:val="24"/>
          <w:szCs w:val="24"/>
        </w:rPr>
        <w:t xml:space="preserve">The IMT will determine </w:t>
      </w:r>
      <w:r w:rsidR="0028080C" w:rsidRPr="000F5BAC">
        <w:rPr>
          <w:sz w:val="24"/>
          <w:szCs w:val="24"/>
        </w:rPr>
        <w:t>O</w:t>
      </w:r>
      <w:r w:rsidRPr="000F5BAC">
        <w:rPr>
          <w:sz w:val="24"/>
          <w:szCs w:val="24"/>
        </w:rPr>
        <w:t xml:space="preserve">perational hours for each </w:t>
      </w:r>
      <w:r w:rsidR="0028080C" w:rsidRPr="000F5BAC">
        <w:rPr>
          <w:sz w:val="24"/>
          <w:szCs w:val="24"/>
        </w:rPr>
        <w:t>O</w:t>
      </w:r>
      <w:r w:rsidRPr="000F5BAC">
        <w:rPr>
          <w:sz w:val="24"/>
          <w:szCs w:val="24"/>
        </w:rPr>
        <w:t>perational period.</w:t>
      </w:r>
    </w:p>
    <w:p w14:paraId="4BCFCA2F" w14:textId="6AFFA2F1" w:rsidR="0083459C" w:rsidRPr="000F5BAC" w:rsidRDefault="0083459C" w:rsidP="008A1119">
      <w:pPr>
        <w:spacing w:before="240" w:after="240"/>
        <w:ind w:left="540"/>
        <w:rPr>
          <w:sz w:val="24"/>
          <w:szCs w:val="24"/>
        </w:rPr>
      </w:pPr>
      <w:r w:rsidRPr="000F5BAC">
        <w:rPr>
          <w:sz w:val="24"/>
          <w:szCs w:val="24"/>
        </w:rPr>
        <w:t xml:space="preserve">The actual length of a specific workday may vary based upon </w:t>
      </w:r>
      <w:r w:rsidR="0028080C" w:rsidRPr="000F5BAC">
        <w:rPr>
          <w:sz w:val="24"/>
          <w:szCs w:val="24"/>
        </w:rPr>
        <w:t>O</w:t>
      </w:r>
      <w:r w:rsidRPr="000F5BAC">
        <w:rPr>
          <w:sz w:val="24"/>
          <w:szCs w:val="24"/>
        </w:rPr>
        <w:t xml:space="preserve">perational needs, specific job description and duties, weather, local laws, and other factors. </w:t>
      </w:r>
      <w:r w:rsidR="007068D9" w:rsidRPr="000F5BAC">
        <w:rPr>
          <w:sz w:val="24"/>
          <w:szCs w:val="24"/>
        </w:rPr>
        <w:t xml:space="preserve"> </w:t>
      </w:r>
      <w:r w:rsidR="00350D44" w:rsidRPr="000F5BAC">
        <w:rPr>
          <w:sz w:val="24"/>
          <w:szCs w:val="24"/>
        </w:rPr>
        <w:t>D</w:t>
      </w:r>
      <w:r w:rsidRPr="000F5BAC">
        <w:rPr>
          <w:sz w:val="24"/>
          <w:szCs w:val="24"/>
        </w:rPr>
        <w:t xml:space="preserve">aily </w:t>
      </w:r>
      <w:r w:rsidR="00350D44" w:rsidRPr="000F5BAC">
        <w:rPr>
          <w:sz w:val="24"/>
          <w:szCs w:val="24"/>
        </w:rPr>
        <w:t>O</w:t>
      </w:r>
      <w:r w:rsidRPr="000F5BAC">
        <w:rPr>
          <w:sz w:val="24"/>
          <w:szCs w:val="24"/>
        </w:rPr>
        <w:t xml:space="preserve">perations </w:t>
      </w:r>
      <w:r w:rsidR="00350D44" w:rsidRPr="000F5BAC">
        <w:rPr>
          <w:bCs/>
          <w:kern w:val="32"/>
          <w:sz w:val="24"/>
          <w:szCs w:val="24"/>
        </w:rPr>
        <w:t xml:space="preserve">working hours are 6:00 </w:t>
      </w:r>
      <w:r w:rsidR="006D646A">
        <w:rPr>
          <w:bCs/>
          <w:kern w:val="32"/>
          <w:sz w:val="24"/>
          <w:szCs w:val="24"/>
        </w:rPr>
        <w:t>a.m.</w:t>
      </w:r>
      <w:r w:rsidR="00350D44" w:rsidRPr="000F5BAC">
        <w:rPr>
          <w:bCs/>
          <w:kern w:val="32"/>
          <w:sz w:val="24"/>
          <w:szCs w:val="24"/>
        </w:rPr>
        <w:t xml:space="preserve"> to 6:00 </w:t>
      </w:r>
      <w:r w:rsidR="006D646A">
        <w:rPr>
          <w:bCs/>
          <w:kern w:val="32"/>
          <w:sz w:val="24"/>
          <w:szCs w:val="24"/>
        </w:rPr>
        <w:t>p.m.</w:t>
      </w:r>
      <w:r w:rsidR="00350D44" w:rsidRPr="000F5BAC">
        <w:rPr>
          <w:bCs/>
          <w:kern w:val="32"/>
          <w:sz w:val="24"/>
          <w:szCs w:val="24"/>
        </w:rPr>
        <w:t xml:space="preserve"> Pacific Time (PT) or as specified by the User Agency.</w:t>
      </w:r>
    </w:p>
    <w:p w14:paraId="0A698699" w14:textId="05FC15F5" w:rsidR="0083459C" w:rsidRPr="000F5BAC" w:rsidRDefault="007C4EFD" w:rsidP="008A1119">
      <w:pPr>
        <w:pStyle w:val="Heading2"/>
        <w:ind w:left="540" w:hanging="540"/>
        <w:rPr>
          <w:rFonts w:cs="Arial"/>
          <w:szCs w:val="24"/>
        </w:rPr>
      </w:pPr>
      <w:r w:rsidRPr="000F5BAC">
        <w:rPr>
          <w:rFonts w:cs="Arial"/>
          <w:szCs w:val="24"/>
        </w:rPr>
        <w:t>WORK ORDER</w:t>
      </w:r>
    </w:p>
    <w:p w14:paraId="0D5D4013" w14:textId="5ACE46AE" w:rsidR="0083459C" w:rsidRPr="000F5BAC" w:rsidRDefault="00AB59DC" w:rsidP="008A1119">
      <w:pPr>
        <w:pStyle w:val="BodyText"/>
        <w:spacing w:before="240" w:after="240"/>
        <w:ind w:left="540"/>
      </w:pPr>
      <w:r w:rsidRPr="000F5BAC">
        <w:rPr>
          <w:kern w:val="32"/>
        </w:rPr>
        <w:t xml:space="preserve">At the discretion of the User Agency, it may choose to direct work via Work Orders for services contained in the User Agreement.  </w:t>
      </w:r>
      <w:r w:rsidR="0083459C" w:rsidRPr="000F5BAC">
        <w:t xml:space="preserve">Work Orders detail activities to be completed within the Scope of Work, not to exceed cost, and provide a schedule for completion. </w:t>
      </w:r>
      <w:r w:rsidR="007068D9" w:rsidRPr="000F5BAC">
        <w:t xml:space="preserve"> </w:t>
      </w:r>
      <w:r w:rsidR="0083459C" w:rsidRPr="000F5BAC">
        <w:t xml:space="preserve">The </w:t>
      </w:r>
      <w:r w:rsidR="00750AE5" w:rsidRPr="000F5BAC">
        <w:t>C</w:t>
      </w:r>
      <w:r w:rsidR="0083459C" w:rsidRPr="000F5BAC">
        <w:t>ontractor shall not perform or undertake any work that is not indicated or addressed in a Work Order.</w:t>
      </w:r>
    </w:p>
    <w:sectPr w:rsidR="0083459C" w:rsidRPr="000F5BAC" w:rsidSect="004B1871">
      <w:headerReference w:type="default" r:id="rId12"/>
      <w:footerReference w:type="default" r:id="rId13"/>
      <w:pgSz w:w="12240" w:h="15840"/>
      <w:pgMar w:top="1440" w:right="1440" w:bottom="1440" w:left="1440" w:header="720" w:footer="432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5D18" w14:textId="77777777" w:rsidR="00031397" w:rsidRDefault="00031397" w:rsidP="00031397">
      <w:r>
        <w:separator/>
      </w:r>
    </w:p>
  </w:endnote>
  <w:endnote w:type="continuationSeparator" w:id="0">
    <w:p w14:paraId="1C2109DB" w14:textId="77777777" w:rsidR="00031397" w:rsidRDefault="00031397" w:rsidP="0003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08888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A780984" w14:textId="58D32DD1" w:rsidR="00820272" w:rsidRPr="008B691F" w:rsidRDefault="00820272">
        <w:pPr>
          <w:pStyle w:val="Footer"/>
          <w:jc w:val="center"/>
          <w:rPr>
            <w:sz w:val="24"/>
            <w:szCs w:val="24"/>
          </w:rPr>
        </w:pPr>
        <w:r w:rsidRPr="008B691F">
          <w:rPr>
            <w:sz w:val="24"/>
            <w:szCs w:val="24"/>
          </w:rPr>
          <w:fldChar w:fldCharType="begin"/>
        </w:r>
        <w:r w:rsidRPr="008B691F">
          <w:rPr>
            <w:sz w:val="24"/>
            <w:szCs w:val="24"/>
          </w:rPr>
          <w:instrText xml:space="preserve"> PAGE   \* MERGEFORMAT </w:instrText>
        </w:r>
        <w:r w:rsidRPr="008B691F">
          <w:rPr>
            <w:sz w:val="24"/>
            <w:szCs w:val="24"/>
          </w:rPr>
          <w:fldChar w:fldCharType="separate"/>
        </w:r>
        <w:r w:rsidRPr="008B691F">
          <w:rPr>
            <w:noProof/>
            <w:sz w:val="24"/>
            <w:szCs w:val="24"/>
          </w:rPr>
          <w:t>2</w:t>
        </w:r>
        <w:r w:rsidRPr="008B691F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9803" w14:textId="77777777" w:rsidR="00031397" w:rsidRDefault="00031397" w:rsidP="00031397">
      <w:r>
        <w:separator/>
      </w:r>
    </w:p>
  </w:footnote>
  <w:footnote w:type="continuationSeparator" w:id="0">
    <w:p w14:paraId="61B7BDD5" w14:textId="77777777" w:rsidR="00031397" w:rsidRDefault="00031397" w:rsidP="0003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6512" w14:textId="0F2FD653" w:rsidR="00031397" w:rsidRPr="00AB79BE" w:rsidRDefault="00031397" w:rsidP="00031397">
    <w:pPr>
      <w:pStyle w:val="Header"/>
      <w:jc w:val="right"/>
      <w:rPr>
        <w:rFonts w:eastAsia="Times New Roman"/>
        <w:bCs/>
        <w:sz w:val="24"/>
        <w:szCs w:val="24"/>
      </w:rPr>
    </w:pPr>
    <w:r w:rsidRPr="00AB79BE">
      <w:rPr>
        <w:bCs/>
        <w:sz w:val="24"/>
        <w:szCs w:val="24"/>
      </w:rPr>
      <w:t>Department of General Services</w:t>
    </w:r>
  </w:p>
  <w:p w14:paraId="575737E4" w14:textId="77777777" w:rsidR="00A65C13" w:rsidRDefault="00A65C13" w:rsidP="00A65C13">
    <w:pPr>
      <w:pStyle w:val="Header"/>
      <w:jc w:val="right"/>
      <w:rPr>
        <w:b/>
        <w:sz w:val="24"/>
        <w:szCs w:val="24"/>
      </w:rPr>
    </w:pPr>
    <w:r w:rsidRPr="008A771F">
      <w:rPr>
        <w:sz w:val="24"/>
        <w:szCs w:val="24"/>
      </w:rPr>
      <w:t>Assessment and Monitoring Services</w:t>
    </w:r>
    <w:r>
      <w:rPr>
        <w:sz w:val="24"/>
        <w:szCs w:val="24"/>
      </w:rPr>
      <w:t xml:space="preserve"> for</w:t>
    </w:r>
  </w:p>
  <w:p w14:paraId="480814F2" w14:textId="77777777" w:rsidR="00A65C13" w:rsidRPr="002F306A" w:rsidRDefault="00A65C13" w:rsidP="00A65C13">
    <w:pPr>
      <w:pStyle w:val="Header"/>
      <w:jc w:val="right"/>
      <w:rPr>
        <w:b/>
        <w:sz w:val="24"/>
        <w:szCs w:val="24"/>
      </w:rPr>
    </w:pPr>
    <w:r w:rsidRPr="008A771F">
      <w:rPr>
        <w:sz w:val="24"/>
        <w:szCs w:val="24"/>
      </w:rPr>
      <w:t>Disaster Debris and Hazard Tree Removal</w:t>
    </w:r>
  </w:p>
  <w:p w14:paraId="6E58D598" w14:textId="17736FD9" w:rsidR="008F2F3E" w:rsidRPr="005527C6" w:rsidRDefault="008F2F3E" w:rsidP="008F2F3E">
    <w:pPr>
      <w:tabs>
        <w:tab w:val="center" w:pos="4320"/>
        <w:tab w:val="left" w:pos="7920"/>
        <w:tab w:val="right" w:pos="8640"/>
        <w:tab w:val="right" w:pos="10710"/>
      </w:tabs>
      <w:spacing w:after="240"/>
      <w:ind w:left="720"/>
      <w:jc w:val="right"/>
      <w:rPr>
        <w:sz w:val="24"/>
        <w:szCs w:val="20"/>
      </w:rPr>
    </w:pPr>
    <w:r w:rsidRPr="005527C6">
      <w:rPr>
        <w:sz w:val="24"/>
        <w:szCs w:val="24"/>
      </w:rPr>
      <w:t>Agreement Number: 5-22-99-33-</w:t>
    </w:r>
    <w:r w:rsidR="0026387B">
      <w:rPr>
        <w:sz w:val="24"/>
        <w:szCs w:val="24"/>
      </w:rPr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256F"/>
    <w:multiLevelType w:val="hybridMultilevel"/>
    <w:tmpl w:val="8E1897C2"/>
    <w:lvl w:ilvl="0" w:tplc="6414BCF2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byW1fUT90PLHM/yAl+9LtOCPY7J3T5ElaiBUxDWqGKN+IEI0zkWeNc68S8p+IjCf+heRZyDTCnmWGwtzUBzQDQ==" w:salt="/aC7XiHaHmByi3yDVuvgG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9C"/>
    <w:rsid w:val="00002669"/>
    <w:rsid w:val="00031397"/>
    <w:rsid w:val="00064BC0"/>
    <w:rsid w:val="00083303"/>
    <w:rsid w:val="000A5F64"/>
    <w:rsid w:val="000C54AC"/>
    <w:rsid w:val="000D2F5D"/>
    <w:rsid w:val="000E3901"/>
    <w:rsid w:val="000F5BAC"/>
    <w:rsid w:val="001014FE"/>
    <w:rsid w:val="0013284B"/>
    <w:rsid w:val="00181438"/>
    <w:rsid w:val="001853D6"/>
    <w:rsid w:val="0018722E"/>
    <w:rsid w:val="00187FB2"/>
    <w:rsid w:val="001A4122"/>
    <w:rsid w:val="001F5C81"/>
    <w:rsid w:val="00200F15"/>
    <w:rsid w:val="00213F4C"/>
    <w:rsid w:val="0023478E"/>
    <w:rsid w:val="002556FF"/>
    <w:rsid w:val="0026387B"/>
    <w:rsid w:val="0028080C"/>
    <w:rsid w:val="002E5E71"/>
    <w:rsid w:val="002F63F9"/>
    <w:rsid w:val="003028B3"/>
    <w:rsid w:val="00324681"/>
    <w:rsid w:val="00350D44"/>
    <w:rsid w:val="003B6491"/>
    <w:rsid w:val="003C040C"/>
    <w:rsid w:val="003C2381"/>
    <w:rsid w:val="003F26A2"/>
    <w:rsid w:val="00422227"/>
    <w:rsid w:val="00427AE4"/>
    <w:rsid w:val="0045292B"/>
    <w:rsid w:val="004B1871"/>
    <w:rsid w:val="004C7AB7"/>
    <w:rsid w:val="005469D2"/>
    <w:rsid w:val="005D0D88"/>
    <w:rsid w:val="005E48DC"/>
    <w:rsid w:val="00642250"/>
    <w:rsid w:val="0064499B"/>
    <w:rsid w:val="00662900"/>
    <w:rsid w:val="00691309"/>
    <w:rsid w:val="00694B72"/>
    <w:rsid w:val="00695C32"/>
    <w:rsid w:val="006D11D6"/>
    <w:rsid w:val="006D646A"/>
    <w:rsid w:val="006E1515"/>
    <w:rsid w:val="006E4594"/>
    <w:rsid w:val="007068D9"/>
    <w:rsid w:val="00733AE3"/>
    <w:rsid w:val="00734F63"/>
    <w:rsid w:val="00750AE5"/>
    <w:rsid w:val="00761D2F"/>
    <w:rsid w:val="00775A7D"/>
    <w:rsid w:val="007A2626"/>
    <w:rsid w:val="007C4EFD"/>
    <w:rsid w:val="007D19AA"/>
    <w:rsid w:val="007E1A9F"/>
    <w:rsid w:val="00820272"/>
    <w:rsid w:val="0083459C"/>
    <w:rsid w:val="00860AC6"/>
    <w:rsid w:val="00871128"/>
    <w:rsid w:val="00875DC7"/>
    <w:rsid w:val="0087695E"/>
    <w:rsid w:val="00880A70"/>
    <w:rsid w:val="008A1119"/>
    <w:rsid w:val="008A6755"/>
    <w:rsid w:val="008A6B38"/>
    <w:rsid w:val="008B691F"/>
    <w:rsid w:val="008D7462"/>
    <w:rsid w:val="008E7541"/>
    <w:rsid w:val="008F2F3E"/>
    <w:rsid w:val="00900A0A"/>
    <w:rsid w:val="009253CD"/>
    <w:rsid w:val="00925FD4"/>
    <w:rsid w:val="00941819"/>
    <w:rsid w:val="00950EB5"/>
    <w:rsid w:val="00952D81"/>
    <w:rsid w:val="00962DD2"/>
    <w:rsid w:val="00986558"/>
    <w:rsid w:val="009910C6"/>
    <w:rsid w:val="009B4A9B"/>
    <w:rsid w:val="009C009F"/>
    <w:rsid w:val="009C5A87"/>
    <w:rsid w:val="009E2E61"/>
    <w:rsid w:val="00A01539"/>
    <w:rsid w:val="00A03246"/>
    <w:rsid w:val="00A22E29"/>
    <w:rsid w:val="00A34FD7"/>
    <w:rsid w:val="00A61F79"/>
    <w:rsid w:val="00A65C13"/>
    <w:rsid w:val="00A86C36"/>
    <w:rsid w:val="00AA4302"/>
    <w:rsid w:val="00AB59DC"/>
    <w:rsid w:val="00AB79BE"/>
    <w:rsid w:val="00AD47FE"/>
    <w:rsid w:val="00B17F0D"/>
    <w:rsid w:val="00B27B91"/>
    <w:rsid w:val="00B42D50"/>
    <w:rsid w:val="00B54982"/>
    <w:rsid w:val="00B753A8"/>
    <w:rsid w:val="00B91355"/>
    <w:rsid w:val="00B93C4E"/>
    <w:rsid w:val="00B93F2B"/>
    <w:rsid w:val="00BE48DC"/>
    <w:rsid w:val="00C844A2"/>
    <w:rsid w:val="00C86FA9"/>
    <w:rsid w:val="00C914D2"/>
    <w:rsid w:val="00C92966"/>
    <w:rsid w:val="00CB4BA5"/>
    <w:rsid w:val="00D12CD1"/>
    <w:rsid w:val="00D2478E"/>
    <w:rsid w:val="00D6185A"/>
    <w:rsid w:val="00D80323"/>
    <w:rsid w:val="00D82F9A"/>
    <w:rsid w:val="00DA0978"/>
    <w:rsid w:val="00DC0CAF"/>
    <w:rsid w:val="00E0223F"/>
    <w:rsid w:val="00E03A6A"/>
    <w:rsid w:val="00E12208"/>
    <w:rsid w:val="00E9382B"/>
    <w:rsid w:val="00E96B85"/>
    <w:rsid w:val="00EA3533"/>
    <w:rsid w:val="00EB53D7"/>
    <w:rsid w:val="00ED771E"/>
    <w:rsid w:val="00EF325A"/>
    <w:rsid w:val="00F0470E"/>
    <w:rsid w:val="00F17EFC"/>
    <w:rsid w:val="00F475B6"/>
    <w:rsid w:val="00F57051"/>
    <w:rsid w:val="00F61EE8"/>
    <w:rsid w:val="00F6532B"/>
    <w:rsid w:val="00F71353"/>
    <w:rsid w:val="00F72485"/>
    <w:rsid w:val="00F80833"/>
    <w:rsid w:val="00F84400"/>
    <w:rsid w:val="00FA417D"/>
    <w:rsid w:val="00FD4BF4"/>
    <w:rsid w:val="02E67A02"/>
    <w:rsid w:val="042CA2AF"/>
    <w:rsid w:val="066CD13D"/>
    <w:rsid w:val="0789D96E"/>
    <w:rsid w:val="0A07E6F3"/>
    <w:rsid w:val="0B404260"/>
    <w:rsid w:val="0B7F13E1"/>
    <w:rsid w:val="0B8AF0A0"/>
    <w:rsid w:val="0E1D7CE3"/>
    <w:rsid w:val="0F3985E7"/>
    <w:rsid w:val="103E5325"/>
    <w:rsid w:val="13F83719"/>
    <w:rsid w:val="14CDFC49"/>
    <w:rsid w:val="150AA88C"/>
    <w:rsid w:val="1A89B3C9"/>
    <w:rsid w:val="1CE0FBB4"/>
    <w:rsid w:val="1DD8C118"/>
    <w:rsid w:val="1E6EAE67"/>
    <w:rsid w:val="1E74DE8F"/>
    <w:rsid w:val="242CAC0D"/>
    <w:rsid w:val="24866DC6"/>
    <w:rsid w:val="250F9D9B"/>
    <w:rsid w:val="25490920"/>
    <w:rsid w:val="26223E27"/>
    <w:rsid w:val="26C0360E"/>
    <w:rsid w:val="2823AE5B"/>
    <w:rsid w:val="2959DEE9"/>
    <w:rsid w:val="2A506005"/>
    <w:rsid w:val="2A7E4627"/>
    <w:rsid w:val="2F562880"/>
    <w:rsid w:val="2FA71283"/>
    <w:rsid w:val="30A84669"/>
    <w:rsid w:val="31016D50"/>
    <w:rsid w:val="310ACD31"/>
    <w:rsid w:val="34DBD0A0"/>
    <w:rsid w:val="36355F59"/>
    <w:rsid w:val="3725F669"/>
    <w:rsid w:val="376EEB68"/>
    <w:rsid w:val="37746808"/>
    <w:rsid w:val="387061BE"/>
    <w:rsid w:val="39205CB2"/>
    <w:rsid w:val="3A0C321F"/>
    <w:rsid w:val="3A2A9DA5"/>
    <w:rsid w:val="3AA84F96"/>
    <w:rsid w:val="3ABC2D13"/>
    <w:rsid w:val="3B24C8CF"/>
    <w:rsid w:val="3BA80280"/>
    <w:rsid w:val="3BDFDA88"/>
    <w:rsid w:val="3C660631"/>
    <w:rsid w:val="3E3238FF"/>
    <w:rsid w:val="3E388989"/>
    <w:rsid w:val="3F04E60F"/>
    <w:rsid w:val="4169D9C1"/>
    <w:rsid w:val="420175A6"/>
    <w:rsid w:val="4305AA22"/>
    <w:rsid w:val="43AE5259"/>
    <w:rsid w:val="43D85732"/>
    <w:rsid w:val="44DB2342"/>
    <w:rsid w:val="45A5EEE6"/>
    <w:rsid w:val="460D54EB"/>
    <w:rsid w:val="47D94642"/>
    <w:rsid w:val="48AD995B"/>
    <w:rsid w:val="48AE3F7E"/>
    <w:rsid w:val="4AAC7AB8"/>
    <w:rsid w:val="4AC660E6"/>
    <w:rsid w:val="4BB5458F"/>
    <w:rsid w:val="4DD564DC"/>
    <w:rsid w:val="4E9F9E33"/>
    <w:rsid w:val="50E07923"/>
    <w:rsid w:val="525A9821"/>
    <w:rsid w:val="529D1C4A"/>
    <w:rsid w:val="556BBFD2"/>
    <w:rsid w:val="563FA326"/>
    <w:rsid w:val="5991F1FF"/>
    <w:rsid w:val="5FDA9575"/>
    <w:rsid w:val="608A9069"/>
    <w:rsid w:val="60D4EB8A"/>
    <w:rsid w:val="64E7F1D9"/>
    <w:rsid w:val="6519E7FF"/>
    <w:rsid w:val="6A3172AF"/>
    <w:rsid w:val="6D80B35A"/>
    <w:rsid w:val="6E4BF7B4"/>
    <w:rsid w:val="6E4F9DFE"/>
    <w:rsid w:val="6FDF7E68"/>
    <w:rsid w:val="718A98BF"/>
    <w:rsid w:val="735AE729"/>
    <w:rsid w:val="73E749BE"/>
    <w:rsid w:val="740ADF28"/>
    <w:rsid w:val="746B2944"/>
    <w:rsid w:val="77137863"/>
    <w:rsid w:val="777E2B82"/>
    <w:rsid w:val="77A6597C"/>
    <w:rsid w:val="783A1327"/>
    <w:rsid w:val="7B22310F"/>
    <w:rsid w:val="7DC120FF"/>
    <w:rsid w:val="7FFD8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63A4D70"/>
  <w15:chartTrackingRefBased/>
  <w15:docId w15:val="{3AA39D95-FED4-4591-B438-6D71B7DE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8345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71"/>
    <w:pPr>
      <w:keepNext/>
      <w:keepLines/>
      <w:numPr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459C"/>
    <w:pPr>
      <w:ind w:left="120" w:right="52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459C"/>
    <w:rPr>
      <w:rFonts w:ascii="Arial" w:eastAsia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81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1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3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1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397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A0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1871"/>
    <w:rPr>
      <w:rFonts w:ascii="Arial" w:eastAsiaTheme="majorEastAsia" w:hAnsi="Arial" w:cstheme="majorBidi"/>
      <w:b/>
      <w:sz w:val="24"/>
      <w:szCs w:val="26"/>
    </w:rPr>
  </w:style>
  <w:style w:type="paragraph" w:styleId="Revision">
    <w:name w:val="Revision"/>
    <w:hidden/>
    <w:uiPriority w:val="99"/>
    <w:semiHidden/>
    <w:rsid w:val="008E7541"/>
    <w:pPr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86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55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558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6B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B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A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YO00FIL001\Common2\Acquisitions\MAP-Masters\Masters\Contracts\Assessment%20and%20Monitoring_NEW_2021_RFP5219930\1_Procurement\1.1_Development\Solicitation%20SOW\FINAL%20DOCS\State%20Agency%20List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6056FEC15549B03F435B6EE6EFBB" ma:contentTypeVersion="8" ma:contentTypeDescription="Create a new document." ma:contentTypeScope="" ma:versionID="dc2449b77aefdf5d27024e959357a9b8">
  <xsd:schema xmlns:xsd="http://www.w3.org/2001/XMLSchema" xmlns:xs="http://www.w3.org/2001/XMLSchema" xmlns:p="http://schemas.microsoft.com/office/2006/metadata/properties" xmlns:ns2="75323c46-7b44-47db-9dfc-de9de3beadeb" xmlns:ns3="8fe9c94d-b49c-4816-ae4c-da2273f76ee0" targetNamespace="http://schemas.microsoft.com/office/2006/metadata/properties" ma:root="true" ma:fieldsID="c1f1b08687de21eb9fe54b1cb037c2a5" ns2:_="" ns3:_="">
    <xsd:import namespace="75323c46-7b44-47db-9dfc-de9de3beadeb"/>
    <xsd:import namespace="8fe9c94d-b49c-4816-ae4c-da2273f76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23c46-7b44-47db-9dfc-de9de3bea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9c94d-b49c-4816-ae4c-da2273f76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846E-019E-4230-9406-B0FBCECF6826}">
  <ds:schemaRefs>
    <ds:schemaRef ds:uri="8fe9c94d-b49c-4816-ae4c-da2273f76ee0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75323c46-7b44-47db-9dfc-de9de3beadeb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533F286-F8D1-49DD-B922-0ABE21887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23c46-7b44-47db-9dfc-de9de3beadeb"/>
    <ds:schemaRef ds:uri="8fe9c94d-b49c-4816-ae4c-da2273f76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CB4B6-F30A-4300-8E43-A2C251BC6F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E1E33-F733-40AB-AD47-D9B25098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1290</Words>
  <Characters>7359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Jaramillo, Stacey@DGS</dc:creator>
  <cp:keywords/>
  <dc:description/>
  <cp:lastModifiedBy>Jaramillo, Stacey@DGS</cp:lastModifiedBy>
  <cp:revision>9</cp:revision>
  <dcterms:created xsi:type="dcterms:W3CDTF">2022-02-23T21:47:00Z</dcterms:created>
  <dcterms:modified xsi:type="dcterms:W3CDTF">2022-05-03T18:48:00Z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0x01010066E86056FEC15549B03F435B6EE6EFBB</vt:lpwstr>
  </property>
</Properties>
</file>