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0745" w14:textId="77777777" w:rsidR="00A04642" w:rsidRDefault="00CB30A7" w:rsidP="00CB30A7">
      <w:pPr>
        <w:tabs>
          <w:tab w:val="left" w:pos="3432"/>
        </w:tabs>
        <w:spacing w:after="0"/>
        <w:rPr>
          <w:rFonts w:ascii="Arial" w:hAnsi="Arial" w:cs="Arial"/>
          <w:sz w:val="24"/>
          <w:szCs w:val="24"/>
        </w:rPr>
      </w:pPr>
      <w:r>
        <w:rPr>
          <w:rFonts w:ascii="Arial" w:hAnsi="Arial" w:cs="Arial"/>
          <w:sz w:val="24"/>
          <w:szCs w:val="24"/>
        </w:rPr>
        <w:tab/>
      </w:r>
    </w:p>
    <w:p w14:paraId="79DB8697" w14:textId="06DC1E15" w:rsidR="001B0D7E" w:rsidRDefault="001B0D7E" w:rsidP="00E73DE1">
      <w:r>
        <w:t>The Flood Control and Water Conservation District respectfully proposes the following amendments to the Scott Valley Ditch Infiltration Project</w:t>
      </w:r>
      <w:r w:rsidR="00C903EC">
        <w:t xml:space="preserve"> (Project)</w:t>
      </w:r>
      <w:r>
        <w:t xml:space="preserve"> – Q2296039 Grant Agreement:</w:t>
      </w:r>
    </w:p>
    <w:p w14:paraId="77F2B79D" w14:textId="2D1A8465" w:rsidR="00E70E1A" w:rsidRPr="00D35211" w:rsidRDefault="00E70E1A" w:rsidP="00E70E1A">
      <w:pPr>
        <w:rPr>
          <w:b/>
          <w:bCs/>
          <w:sz w:val="24"/>
          <w:szCs w:val="24"/>
        </w:rPr>
      </w:pPr>
      <w:r w:rsidRPr="00D35211">
        <w:rPr>
          <w:b/>
          <w:bCs/>
          <w:sz w:val="24"/>
          <w:szCs w:val="24"/>
          <w:u w:val="single"/>
        </w:rPr>
        <w:t xml:space="preserve">Page </w:t>
      </w:r>
      <w:r>
        <w:rPr>
          <w:b/>
          <w:bCs/>
          <w:sz w:val="24"/>
          <w:szCs w:val="24"/>
          <w:u w:val="single"/>
        </w:rPr>
        <w:t>3</w:t>
      </w:r>
      <w:r w:rsidRPr="00D35211">
        <w:rPr>
          <w:b/>
          <w:bCs/>
          <w:sz w:val="24"/>
          <w:szCs w:val="24"/>
          <w:u w:val="single"/>
        </w:rPr>
        <w:t xml:space="preserve">, Section 6.02 </w:t>
      </w:r>
      <w:r>
        <w:rPr>
          <w:b/>
          <w:bCs/>
          <w:sz w:val="24"/>
          <w:szCs w:val="24"/>
          <w:u w:val="single"/>
        </w:rPr>
        <w:t>Objectives</w:t>
      </w:r>
      <w:r w:rsidRPr="00D35211">
        <w:rPr>
          <w:b/>
          <w:bCs/>
          <w:sz w:val="24"/>
          <w:szCs w:val="24"/>
          <w:u w:val="single"/>
        </w:rPr>
        <w:t>:</w:t>
      </w:r>
    </w:p>
    <w:p w14:paraId="61D6341B" w14:textId="77777777" w:rsidR="006B6B35" w:rsidRPr="006B6B35" w:rsidRDefault="006B6B35" w:rsidP="006B6B35">
      <w:r w:rsidRPr="006B6B35">
        <w:rPr>
          <w:b/>
          <w:bCs/>
        </w:rPr>
        <w:t>Objectives:</w:t>
      </w:r>
      <w:r w:rsidRPr="006B6B35">
        <w:t xml:space="preserve"> Specific objectives of this Project are to:</w:t>
      </w:r>
    </w:p>
    <w:p w14:paraId="392679EF" w14:textId="4193D146" w:rsidR="006B6B35" w:rsidRPr="006B6B35" w:rsidRDefault="006B6B35" w:rsidP="006B6B35">
      <w:r w:rsidRPr="006B6B35">
        <w:t>1. Continue the implementation of the SVID Recharge Project in Scott Valley to</w:t>
      </w:r>
      <w:r w:rsidR="00F42933">
        <w:t xml:space="preserve"> </w:t>
      </w:r>
      <w:r w:rsidRPr="006B6B35">
        <w:t>study recharge potential due to:</w:t>
      </w:r>
    </w:p>
    <w:p w14:paraId="1420AAC1" w14:textId="5D040F4A" w:rsidR="006B6B35" w:rsidRPr="006B6B35" w:rsidRDefault="006B6B35" w:rsidP="00F42933">
      <w:pPr>
        <w:ind w:left="720"/>
      </w:pPr>
      <w:r w:rsidRPr="006B6B35">
        <w:t>a. Water diverted into ditches.</w:t>
      </w:r>
      <w:r w:rsidR="00D30481">
        <w:t xml:space="preserve"> </w:t>
      </w:r>
      <w:r w:rsidR="00160C3A">
        <w:t xml:space="preserve">This will be </w:t>
      </w:r>
      <w:r w:rsidR="00D30481">
        <w:t xml:space="preserve">quantified through physical </w:t>
      </w:r>
      <w:r w:rsidR="00100E67">
        <w:t>measurements</w:t>
      </w:r>
      <w:r w:rsidR="008E7E8B">
        <w:t xml:space="preserve"> and estimated using the</w:t>
      </w:r>
      <w:r w:rsidR="007E1F41">
        <w:t xml:space="preserve"> Scott Valley Integrated Hydrologic Model (SVIHM). </w:t>
      </w:r>
    </w:p>
    <w:p w14:paraId="6BDDA32B" w14:textId="778A14B8" w:rsidR="006B6B35" w:rsidRPr="006B6B35" w:rsidRDefault="006B6B35" w:rsidP="00F42933">
      <w:pPr>
        <w:ind w:left="720"/>
      </w:pPr>
      <w:r w:rsidRPr="006B6B35">
        <w:t>b. Spreading on dormant agricultural fields and potential to support late</w:t>
      </w:r>
      <w:r w:rsidR="00F42933">
        <w:t xml:space="preserve"> </w:t>
      </w:r>
      <w:r w:rsidRPr="006B6B35">
        <w:t>summer and fall flows in the Scott River</w:t>
      </w:r>
    </w:p>
    <w:p w14:paraId="31C2A3E7" w14:textId="0F470AFF" w:rsidR="001B0D7E" w:rsidRPr="007230DE" w:rsidRDefault="002059C7" w:rsidP="00E73DE1">
      <w:pPr>
        <w:rPr>
          <w:b/>
          <w:bCs/>
          <w:sz w:val="24"/>
          <w:szCs w:val="24"/>
        </w:rPr>
      </w:pPr>
      <w:r w:rsidRPr="007230DE">
        <w:rPr>
          <w:b/>
          <w:bCs/>
          <w:sz w:val="24"/>
          <w:szCs w:val="24"/>
          <w:u w:val="single"/>
        </w:rPr>
        <w:t>Page 4, Section 6.03.2 Project Site Access:</w:t>
      </w:r>
    </w:p>
    <w:p w14:paraId="6DB72C21" w14:textId="11351757" w:rsidR="00787545" w:rsidRDefault="002059C7" w:rsidP="00257C81">
      <w:pPr>
        <w:jc w:val="both"/>
      </w:pPr>
      <w:r w:rsidRPr="0043287A">
        <w:t xml:space="preserve">Grantee shall cause the Landowner(s) to give Grantor, and the Subcontractor’s employees and agents written permission to access the Project Site at least once every 12 months from the date of Grantor’s Notice to Proceed until </w:t>
      </w:r>
      <w:r w:rsidR="00F42933" w:rsidRPr="00F42933">
        <w:rPr>
          <w:strike/>
          <w:color w:val="FF0000"/>
        </w:rPr>
        <w:t>25 years after</w:t>
      </w:r>
      <w:r w:rsidR="00F42933">
        <w:rPr>
          <w:color w:val="FF0000"/>
        </w:rPr>
        <w:t xml:space="preserve"> </w:t>
      </w:r>
      <w:r w:rsidRPr="0043287A">
        <w:t>the end of the Agreement Term</w:t>
      </w:r>
      <w:r w:rsidRPr="00052506">
        <w:t xml:space="preserve">, </w:t>
      </w:r>
      <w:r w:rsidR="00EA5FF7" w:rsidRPr="00F42933">
        <w:rPr>
          <w:color w:val="0070C0"/>
        </w:rPr>
        <w:t>March 15, 2026</w:t>
      </w:r>
      <w:r w:rsidR="001351E4" w:rsidRPr="00F42933">
        <w:rPr>
          <w:color w:val="0070C0"/>
        </w:rPr>
        <w:t>,</w:t>
      </w:r>
      <w:r w:rsidRPr="00F42933">
        <w:rPr>
          <w:color w:val="0070C0"/>
        </w:rPr>
        <w:t xml:space="preserve"> </w:t>
      </w:r>
      <w:r w:rsidRPr="0043287A">
        <w:t xml:space="preserve">for purposes of inspections and monitoring </w:t>
      </w:r>
      <w:bookmarkStart w:id="0" w:name="_Hlk174622912"/>
      <w:r w:rsidR="00EA5FF7" w:rsidRPr="00052506">
        <w:t>o</w:t>
      </w:r>
      <w:r w:rsidR="00EA5FF7" w:rsidRPr="00F42933">
        <w:rPr>
          <w:color w:val="0070C0"/>
        </w:rPr>
        <w:t>f only locations where equipment or tasks funded under this Grant Agreement are sited</w:t>
      </w:r>
      <w:r w:rsidR="00EA5FF7" w:rsidRPr="00052506">
        <w:t xml:space="preserve"> </w:t>
      </w:r>
      <w:bookmarkEnd w:id="0"/>
      <w:r w:rsidRPr="0043287A">
        <w:t>(Project Site Access)</w:t>
      </w:r>
      <w:r w:rsidRPr="00052506">
        <w:t xml:space="preserve">. </w:t>
      </w:r>
      <w:r w:rsidRPr="0043287A">
        <w:t>Such access shall be reasonably acceptable to the Landowner(s) and the requester following written or verbal request to Grantee.</w:t>
      </w:r>
      <w:r w:rsidR="00CA4C02" w:rsidRPr="0043287A">
        <w:t xml:space="preserve"> </w:t>
      </w:r>
      <w:r w:rsidR="00493B61" w:rsidRPr="0043287A">
        <w:t xml:space="preserve"> </w:t>
      </w:r>
    </w:p>
    <w:p w14:paraId="195B1EF0" w14:textId="2BDF8357" w:rsidR="002059C7" w:rsidRPr="007230DE" w:rsidRDefault="002059C7" w:rsidP="002059C7">
      <w:pPr>
        <w:jc w:val="both"/>
        <w:rPr>
          <w:b/>
          <w:bCs/>
          <w:sz w:val="24"/>
          <w:szCs w:val="24"/>
        </w:rPr>
      </w:pPr>
      <w:r w:rsidRPr="007230DE">
        <w:rPr>
          <w:b/>
          <w:bCs/>
          <w:sz w:val="24"/>
          <w:szCs w:val="24"/>
          <w:u w:val="single"/>
        </w:rPr>
        <w:t>Page 4, Section 6.03.4</w:t>
      </w:r>
      <w:r w:rsidR="000D7BE1" w:rsidRPr="007230DE">
        <w:rPr>
          <w:b/>
          <w:bCs/>
          <w:sz w:val="24"/>
          <w:szCs w:val="24"/>
          <w:u w:val="single"/>
        </w:rPr>
        <w:t xml:space="preserve"> Project Implementation</w:t>
      </w:r>
    </w:p>
    <w:p w14:paraId="4CDE0CCA" w14:textId="77777777" w:rsidR="000D7BE1" w:rsidRPr="008C1065" w:rsidRDefault="000D7BE1" w:rsidP="000D7BE1">
      <w:pPr>
        <w:jc w:val="both"/>
        <w:rPr>
          <w:b/>
          <w:bCs/>
        </w:rPr>
      </w:pPr>
      <w:r w:rsidRPr="007230DE">
        <w:rPr>
          <w:b/>
          <w:bCs/>
        </w:rPr>
        <w:t>Task 1 – Project Management and Administration</w:t>
      </w:r>
    </w:p>
    <w:p w14:paraId="7D9D75D3" w14:textId="77777777" w:rsidR="000D7BE1" w:rsidRPr="000D7BE1" w:rsidRDefault="000D7BE1" w:rsidP="000D7BE1">
      <w:pPr>
        <w:jc w:val="both"/>
      </w:pPr>
      <w:r w:rsidRPr="000D7BE1">
        <w:t>Grantee will provide technical and administrative services associated with implementation of the Project, including managing this Agreement, assuring all permits are finalized, securing Project Site Access, administering subcontracts, invoicing and payments, drafting and finalizing progress and final reports, and data management.</w:t>
      </w:r>
    </w:p>
    <w:p w14:paraId="248831E8" w14:textId="58BF4946" w:rsidR="000D7BE1" w:rsidRPr="007230DE" w:rsidRDefault="000D7BE1" w:rsidP="000D7BE1">
      <w:pPr>
        <w:jc w:val="both"/>
        <w:rPr>
          <w:b/>
          <w:bCs/>
        </w:rPr>
      </w:pPr>
      <w:r w:rsidRPr="007230DE">
        <w:rPr>
          <w:b/>
          <w:bCs/>
        </w:rPr>
        <w:t>Task 2 – SVID Recharge Project:</w:t>
      </w:r>
    </w:p>
    <w:p w14:paraId="0C317550" w14:textId="77777777" w:rsidR="00F42933" w:rsidRPr="00F42933" w:rsidRDefault="000D7BE1" w:rsidP="00F42933">
      <w:pPr>
        <w:jc w:val="both"/>
        <w:rPr>
          <w:color w:val="0070C0"/>
        </w:rPr>
      </w:pPr>
      <w:r w:rsidRPr="000D7BE1">
        <w:t xml:space="preserve">This task involves continuation of the SVID Recharge Project, with added focus on </w:t>
      </w:r>
      <w:r w:rsidR="00F42933" w:rsidRPr="00F42933">
        <w:rPr>
          <w:strike/>
          <w:color w:val="FF0000"/>
        </w:rPr>
        <w:t xml:space="preserve">ditch water behavior and </w:t>
      </w:r>
      <w:r w:rsidRPr="000D7BE1">
        <w:t xml:space="preserve">potential benefits to groundwater recharge and instream flows. Work under this task involves completing necessary </w:t>
      </w:r>
      <w:r w:rsidR="00727D87" w:rsidRPr="00F42933">
        <w:rPr>
          <w:color w:val="0070C0"/>
        </w:rPr>
        <w:t xml:space="preserve">regulatory requirements and </w:t>
      </w:r>
      <w:r w:rsidRPr="000D7BE1">
        <w:t>reporting efforts to ensure the continuation of this recharge project under the 5-year temporary water rights permit and progress towards a permanent permit application. Reporting includes development of annual Diversion Reports, as required by the under the temporary water rights permits.</w:t>
      </w:r>
      <w:r w:rsidRPr="000D7BE1">
        <w:rPr>
          <w:rFonts w:ascii="Arial" w:eastAsia="Arial" w:hAnsi="Arial" w:cs="Arial"/>
        </w:rPr>
        <w:t xml:space="preserve"> </w:t>
      </w:r>
      <w:r w:rsidR="00F42933" w:rsidRPr="00F42933">
        <w:rPr>
          <w:strike/>
          <w:color w:val="FF0000"/>
        </w:rPr>
        <w:t>Additional regulatory</w:t>
      </w:r>
      <w:r w:rsidR="00F42933" w:rsidRPr="00F42933">
        <w:rPr>
          <w:color w:val="FF0000"/>
        </w:rPr>
        <w:t xml:space="preserve"> </w:t>
      </w:r>
      <w:proofErr w:type="spellStart"/>
      <w:r w:rsidR="00756010">
        <w:rPr>
          <w:rFonts w:eastAsia="Arial" w:cstheme="minorHAnsi"/>
        </w:rPr>
        <w:t>Regulatory</w:t>
      </w:r>
      <w:proofErr w:type="spellEnd"/>
      <w:r w:rsidR="0071706F">
        <w:rPr>
          <w:rFonts w:eastAsia="Arial" w:cstheme="minorHAnsi"/>
        </w:rPr>
        <w:t xml:space="preserve"> requirements</w:t>
      </w:r>
      <w:r w:rsidR="00756010">
        <w:rPr>
          <w:rFonts w:eastAsia="Arial" w:cstheme="minorHAnsi"/>
        </w:rPr>
        <w:t xml:space="preserve"> </w:t>
      </w:r>
      <w:r w:rsidR="00756010" w:rsidRPr="00F42933">
        <w:rPr>
          <w:rFonts w:eastAsia="Arial" w:cstheme="minorHAnsi"/>
          <w:color w:val="0070C0"/>
        </w:rPr>
        <w:t>for</w:t>
      </w:r>
      <w:r w:rsidR="00756010">
        <w:rPr>
          <w:rFonts w:eastAsia="Arial" w:cstheme="minorHAnsi"/>
        </w:rPr>
        <w:t xml:space="preserve"> </w:t>
      </w:r>
      <w:r w:rsidR="00F42933">
        <w:rPr>
          <w:rFonts w:eastAsia="Arial" w:cstheme="minorHAnsi"/>
          <w:strike/>
          <w:color w:val="FF0000"/>
        </w:rPr>
        <w:t xml:space="preserve">identified as required starting in </w:t>
      </w:r>
      <w:r w:rsidR="003C5A2C" w:rsidRPr="00F42933">
        <w:rPr>
          <w:rFonts w:eastAsia="Arial" w:cstheme="minorHAnsi"/>
          <w:color w:val="0070C0"/>
        </w:rPr>
        <w:t xml:space="preserve">2025, include </w:t>
      </w:r>
      <w:r w:rsidR="00847269" w:rsidRPr="00F42933">
        <w:rPr>
          <w:rFonts w:eastAsia="Arial" w:cstheme="minorHAnsi"/>
          <w:color w:val="0070C0"/>
        </w:rPr>
        <w:t>an agreement under the</w:t>
      </w:r>
      <w:r w:rsidR="00727D87" w:rsidRPr="00F42933">
        <w:rPr>
          <w:rFonts w:eastAsia="Arial" w:cstheme="minorHAnsi"/>
          <w:color w:val="0070C0"/>
        </w:rPr>
        <w:t xml:space="preserve"> </w:t>
      </w:r>
      <w:r w:rsidR="000C75A7" w:rsidRPr="00F42933">
        <w:rPr>
          <w:rFonts w:eastAsia="Arial" w:cstheme="minorHAnsi"/>
          <w:color w:val="0070C0"/>
        </w:rPr>
        <w:t xml:space="preserve">California Department of Fish and Wildlife’s </w:t>
      </w:r>
      <w:r w:rsidR="00727D87" w:rsidRPr="00F42933">
        <w:rPr>
          <w:rFonts w:eastAsia="Arial" w:cstheme="minorHAnsi"/>
          <w:color w:val="0070C0"/>
        </w:rPr>
        <w:t xml:space="preserve">Lake and Streambed Alteration </w:t>
      </w:r>
      <w:r w:rsidR="00847269" w:rsidRPr="00F42933">
        <w:rPr>
          <w:rFonts w:eastAsia="Arial" w:cstheme="minorHAnsi"/>
          <w:color w:val="0070C0"/>
        </w:rPr>
        <w:t>Program</w:t>
      </w:r>
      <w:r w:rsidR="00727D87" w:rsidRPr="00F42933">
        <w:rPr>
          <w:rFonts w:eastAsia="Arial" w:cstheme="minorHAnsi"/>
          <w:color w:val="0070C0"/>
        </w:rPr>
        <w:t xml:space="preserve"> and </w:t>
      </w:r>
      <w:r w:rsidR="00A810DD" w:rsidRPr="00F42933">
        <w:rPr>
          <w:rFonts w:eastAsia="Arial" w:cstheme="minorHAnsi"/>
          <w:color w:val="0070C0"/>
        </w:rPr>
        <w:t xml:space="preserve">securing </w:t>
      </w:r>
      <w:r w:rsidR="000C75A7" w:rsidRPr="00F42933">
        <w:rPr>
          <w:rFonts w:eastAsia="Arial" w:cstheme="minorHAnsi"/>
          <w:color w:val="0070C0"/>
        </w:rPr>
        <w:t>a</w:t>
      </w:r>
      <w:r w:rsidR="000C75A7" w:rsidRPr="00F42933">
        <w:rPr>
          <w:rFonts w:cstheme="minorHAnsi"/>
          <w:color w:val="0070C0"/>
        </w:rPr>
        <w:t xml:space="preserve"> conditional</w:t>
      </w:r>
      <w:r w:rsidRPr="00F42933">
        <w:rPr>
          <w:rFonts w:cstheme="minorHAnsi"/>
          <w:color w:val="0070C0"/>
        </w:rPr>
        <w:t xml:space="preserve"> waiver for low threat discharge</w:t>
      </w:r>
      <w:r w:rsidR="000C75A7" w:rsidRPr="00F42933">
        <w:rPr>
          <w:rFonts w:cstheme="minorHAnsi"/>
          <w:color w:val="0070C0"/>
        </w:rPr>
        <w:t xml:space="preserve"> from the North Coast Regional Water Quality Control Board</w:t>
      </w:r>
      <w:r w:rsidR="00F42933">
        <w:rPr>
          <w:rFonts w:cstheme="minorHAnsi"/>
        </w:rPr>
        <w:t xml:space="preserve"> </w:t>
      </w:r>
      <w:r w:rsidR="00F42933">
        <w:rPr>
          <w:rFonts w:cstheme="minorHAnsi"/>
          <w:strike/>
          <w:color w:val="FF0000"/>
        </w:rPr>
        <w:t xml:space="preserve">has also been identified as a requirement to ensure </w:t>
      </w:r>
      <w:r w:rsidR="00F42933">
        <w:rPr>
          <w:rFonts w:cstheme="minorHAnsi"/>
          <w:strike/>
          <w:color w:val="FF0000"/>
        </w:rPr>
        <w:lastRenderedPageBreak/>
        <w:t>recharge implementation has no adverse effects to water quality. Completion of this waiver application is considered under this task</w:t>
      </w:r>
      <w:r w:rsidR="00F42933">
        <w:rPr>
          <w:rFonts w:cstheme="minorHAnsi"/>
        </w:rPr>
        <w:t xml:space="preserve">. </w:t>
      </w:r>
      <w:r w:rsidR="00F42933" w:rsidRPr="00F42933">
        <w:rPr>
          <w:rFonts w:cstheme="minorHAnsi"/>
          <w:strike/>
          <w:color w:val="FF0000"/>
        </w:rPr>
        <w:t>While most</w:t>
      </w:r>
      <w:r w:rsidR="00F42933" w:rsidRPr="00F42933">
        <w:rPr>
          <w:rFonts w:cstheme="minorHAnsi"/>
          <w:color w:val="FF0000"/>
        </w:rPr>
        <w:t xml:space="preserve"> </w:t>
      </w:r>
      <w:proofErr w:type="gramStart"/>
      <w:r w:rsidR="00EC49C5" w:rsidRPr="00F42933">
        <w:rPr>
          <w:rFonts w:cstheme="minorHAnsi"/>
          <w:color w:val="0070C0"/>
        </w:rPr>
        <w:t>The</w:t>
      </w:r>
      <w:proofErr w:type="gramEnd"/>
      <w:r w:rsidR="00EC49C5" w:rsidRPr="00F42933">
        <w:rPr>
          <w:rFonts w:cstheme="minorHAnsi"/>
          <w:color w:val="0070C0"/>
        </w:rPr>
        <w:t xml:space="preserve"> majority of instrumented</w:t>
      </w:r>
      <w:r w:rsidRPr="00F42933">
        <w:rPr>
          <w:rFonts w:cstheme="minorHAnsi"/>
          <w:color w:val="0070C0"/>
        </w:rPr>
        <w:t xml:space="preserve"> </w:t>
      </w:r>
      <w:r w:rsidR="00F42933">
        <w:rPr>
          <w:rFonts w:cstheme="minorHAnsi"/>
          <w:strike/>
          <w:color w:val="FF0000"/>
        </w:rPr>
        <w:t xml:space="preserve">of the </w:t>
      </w:r>
      <w:r w:rsidRPr="00727D87">
        <w:rPr>
          <w:rFonts w:cstheme="minorHAnsi"/>
        </w:rPr>
        <w:t>monitoring sites have telemetry</w:t>
      </w:r>
      <w:r w:rsidR="00EC49C5" w:rsidRPr="00F42933">
        <w:rPr>
          <w:rFonts w:cstheme="minorHAnsi"/>
          <w:color w:val="0070C0"/>
        </w:rPr>
        <w:t xml:space="preserve">, ensuring data is available in-real time. However, </w:t>
      </w:r>
      <w:r w:rsidRPr="00727D87">
        <w:rPr>
          <w:rFonts w:cstheme="minorHAnsi"/>
        </w:rPr>
        <w:t>data collection may involve</w:t>
      </w:r>
      <w:r w:rsidRPr="000D7BE1">
        <w:t xml:space="preserve"> calibrations, field verifications, quality assurance and quality control of the data</w:t>
      </w:r>
      <w:r w:rsidR="00EC49C5">
        <w:t>,</w:t>
      </w:r>
      <w:r w:rsidRPr="000D7BE1">
        <w:t xml:space="preserve"> as well as fulfilment of the biological monitoring plan, as required under the current 180-day temporary permit. </w:t>
      </w:r>
      <w:r w:rsidR="00F42933" w:rsidRPr="00F42933">
        <w:rPr>
          <w:color w:val="0070C0"/>
        </w:rPr>
        <w:t>Geochemical monitoring includes collection of isotope samples, radon samples, and major ion samples, as necessary to provide additional information. The geochemical sampling effort has increased sample frequency to provide more detailed information groundwater recharge dynamics. This increased sample frequency during the recharge period is intended to provide information on not only changes in water composition, but also timing. For example, samples that are collected from the surface ditch water and groundwater wells on or near recharge fields can indicate when recharged surface water reaches the groundwater through changes in isotopic composition of the groundwater. More frequent samples allow better tracking of this change over the recharge period, and continued sampling throughout the summer and early fall months result in a timeseries over the period of interest. This can be used to understand more about the timing and movement of recharged water and can be used in comparison to model estimates. Radon samples evaluate groundwater discharge to surface water. Like the isotope samples, this information can be used to provide information on where, both spatially and temporally, groundwater is discharging to Scott River. Major ion samples may be added where additional information is desired, or where isotope data is inconclusive.  Understanding these dynamics will, in combination with physical groundwater level measurements in wells and near-stream shallow transects will support the hypothesized benefit of this groundwater recharge to instream flows, a major objective of this project. Conducting this monitoring will allow an on-the-ground line of evidence to support model scenarios run and will be instrumental in continuing and expanding groundwater recharge implementation in Scott Valley.</w:t>
      </w:r>
      <w:r w:rsidR="00F42933">
        <w:rPr>
          <w:color w:val="0070C0"/>
        </w:rPr>
        <w:t xml:space="preserve"> </w:t>
      </w:r>
      <w:r w:rsidR="00F42933">
        <w:rPr>
          <w:strike/>
          <w:color w:val="FF0000"/>
        </w:rPr>
        <w:t xml:space="preserve">Grab samples will also be collected for isotope </w:t>
      </w:r>
      <w:proofErr w:type="spellStart"/>
      <w:r w:rsidR="00F42933">
        <w:rPr>
          <w:strike/>
          <w:color w:val="FF0000"/>
        </w:rPr>
        <w:t>analsye</w:t>
      </w:r>
      <w:proofErr w:type="spellEnd"/>
      <w:r w:rsidR="00F42933" w:rsidRPr="00F42933">
        <w:rPr>
          <w:strike/>
          <w:color w:val="FF0000"/>
          <w:highlight w:val="yellow"/>
        </w:rPr>
        <w:t>…</w:t>
      </w:r>
      <w:r w:rsidR="00F42933">
        <w:rPr>
          <w:strike/>
          <w:color w:val="FF0000"/>
        </w:rPr>
        <w:t xml:space="preserve"> </w:t>
      </w:r>
      <w:r w:rsidR="00F42933" w:rsidRPr="00F42933">
        <w:rPr>
          <w:color w:val="0070C0"/>
        </w:rPr>
        <w:t>Additionally, geochemical monitoring will be conducted to evaluate dynamics of the “place of use” on Scott River. This will increase understanding of groundwater contribution to baseflow and variations spatially and temporally. Understanding these dynamics will, in combination with physical groundwater level measurements in wells and near-stream shallow transects will support the hypothesized benefit of this groundwater recharge to instream flows, a major objective of this project. Conducting this monitoring will allow an on-the-ground line of evidence to support model scenarios run and will be instrumental in continuing and expanding groundwater recharge implementation in Scott Valley.</w:t>
      </w:r>
      <w:r w:rsidR="00F42933" w:rsidRPr="00F42933">
        <w:rPr>
          <w:b/>
          <w:bCs/>
          <w:color w:val="0070C0"/>
        </w:rPr>
        <w:t xml:space="preserve"> </w:t>
      </w:r>
      <w:r w:rsidR="00F42933" w:rsidRPr="00F42933">
        <w:rPr>
          <w:color w:val="0070C0"/>
        </w:rPr>
        <w:t xml:space="preserve"> </w:t>
      </w:r>
      <w:r w:rsidR="00F42933" w:rsidRPr="00F42933">
        <w:t>The SVIHM will be used to run long term scenarios and quantity benefits from ditch infiltration and groundwater recharge under different water year types and conditions. Work under this task will be primarily completed by the subcontractor and a water rights Consultant.</w:t>
      </w:r>
    </w:p>
    <w:p w14:paraId="3F5DBFBA" w14:textId="05802989" w:rsidR="00630C68" w:rsidRDefault="000D7BE1" w:rsidP="000D7BE1">
      <w:pPr>
        <w:jc w:val="both"/>
      </w:pPr>
      <w:r w:rsidRPr="00F42933">
        <w:rPr>
          <w:u w:val="single"/>
        </w:rPr>
        <w:t>Deliverables</w:t>
      </w:r>
      <w:r w:rsidRPr="000D7BE1">
        <w:t xml:space="preserve">: Diversion Reports, annually with estimated completion by June 1st, </w:t>
      </w:r>
      <w:r w:rsidR="00AE5939" w:rsidRPr="00F42933">
        <w:rPr>
          <w:color w:val="0070C0"/>
        </w:rPr>
        <w:t>Summary reports of water levels, geochemical, and isotope data annually by August 1</w:t>
      </w:r>
      <w:r w:rsidR="00AE5939" w:rsidRPr="00F42933">
        <w:rPr>
          <w:color w:val="0070C0"/>
          <w:vertAlign w:val="superscript"/>
        </w:rPr>
        <w:t>st</w:t>
      </w:r>
      <w:r w:rsidR="00AE5939">
        <w:t xml:space="preserve">, </w:t>
      </w:r>
      <w:r w:rsidRPr="000D7BE1">
        <w:t>Final report, estimated completion by March 15, 2026.</w:t>
      </w:r>
    </w:p>
    <w:p w14:paraId="342F0932" w14:textId="77777777" w:rsidR="000D7BE1" w:rsidRPr="007230DE" w:rsidRDefault="000D7BE1" w:rsidP="000D7BE1">
      <w:pPr>
        <w:rPr>
          <w:b/>
          <w:bCs/>
        </w:rPr>
      </w:pPr>
      <w:r w:rsidRPr="007230DE">
        <w:rPr>
          <w:b/>
          <w:bCs/>
        </w:rPr>
        <w:t>Task 3 – Ditch Infiltration Studies</w:t>
      </w:r>
    </w:p>
    <w:p w14:paraId="0B808F98" w14:textId="2F5723E4" w:rsidR="000D7BE1" w:rsidRDefault="008C1065" w:rsidP="000D7BE1">
      <w:r w:rsidRPr="0006648A">
        <w:rPr>
          <w:color w:val="0070C0"/>
        </w:rPr>
        <w:t xml:space="preserve">A second mechanism of groundwater recharge, infiltration through unlined irrigation ditches, specifically the </w:t>
      </w:r>
      <w:r w:rsidR="00FC5191" w:rsidRPr="0006648A">
        <w:rPr>
          <w:color w:val="0070C0"/>
        </w:rPr>
        <w:t>Scott Val</w:t>
      </w:r>
      <w:r w:rsidR="00F978CD" w:rsidRPr="0006648A">
        <w:rPr>
          <w:color w:val="0070C0"/>
        </w:rPr>
        <w:t>l</w:t>
      </w:r>
      <w:r w:rsidR="00FC5191" w:rsidRPr="0006648A">
        <w:rPr>
          <w:color w:val="0070C0"/>
        </w:rPr>
        <w:t>ey Irri</w:t>
      </w:r>
      <w:r w:rsidR="00F978CD" w:rsidRPr="0006648A">
        <w:rPr>
          <w:color w:val="0070C0"/>
        </w:rPr>
        <w:t>gation District (</w:t>
      </w:r>
      <w:r w:rsidRPr="0006648A">
        <w:rPr>
          <w:color w:val="0070C0"/>
        </w:rPr>
        <w:t>SVID</w:t>
      </w:r>
      <w:r w:rsidR="00F978CD" w:rsidRPr="0006648A">
        <w:rPr>
          <w:color w:val="0070C0"/>
        </w:rPr>
        <w:t>)</w:t>
      </w:r>
      <w:r w:rsidRPr="0006648A">
        <w:rPr>
          <w:color w:val="0070C0"/>
        </w:rPr>
        <w:t xml:space="preserve"> ditch, will be investigated. This task will focus on the recharge due solely to infiltration through the unlined irrigation ditch, as opposed to water applied to fields.</w:t>
      </w:r>
      <w:r w:rsidR="0006648A">
        <w:rPr>
          <w:color w:val="0070C0"/>
        </w:rPr>
        <w:t xml:space="preserve"> </w:t>
      </w:r>
      <w:r w:rsidR="0006648A">
        <w:rPr>
          <w:strike/>
          <w:color w:val="FF0000"/>
        </w:rPr>
        <w:lastRenderedPageBreak/>
        <w:t>Three locations on the westside of Scott Valley have been identified: Barker ditch, Etna Mill ditch, and Patterson Creek.</w:t>
      </w:r>
      <w:r w:rsidRPr="008C1065">
        <w:t xml:space="preserve"> </w:t>
      </w:r>
      <w:r w:rsidR="000D7BE1" w:rsidRPr="000D7BE1">
        <w:t xml:space="preserve">Monitoring will </w:t>
      </w:r>
      <w:r w:rsidRPr="0006648A">
        <w:rPr>
          <w:color w:val="0070C0"/>
        </w:rPr>
        <w:t>include a combination of physical and geochemical analyses including measurements of radon, isotopic composition, and major ions in ditch water, creek water, and groundwater.</w:t>
      </w:r>
      <w:r w:rsidR="00691C6F">
        <w:t xml:space="preserve"> A Lab Services budget line item was added to account for laboratory analyses</w:t>
      </w:r>
      <w:r w:rsidR="0006648A">
        <w:rPr>
          <w:strike/>
          <w:color w:val="FF0000"/>
        </w:rPr>
        <w:t>, include continuous groundwater levels and temperature, ditch infiltration and streamflow with existing infrastructure used as much as possible</w:t>
      </w:r>
      <w:r w:rsidR="00691C6F" w:rsidRPr="0006648A">
        <w:rPr>
          <w:color w:val="0070C0"/>
        </w:rPr>
        <w:t>.</w:t>
      </w:r>
      <w:r w:rsidR="000D7BE1" w:rsidRPr="0006648A">
        <w:rPr>
          <w:color w:val="0070C0"/>
        </w:rPr>
        <w:t xml:space="preserve"> </w:t>
      </w:r>
      <w:r w:rsidRPr="0006648A">
        <w:rPr>
          <w:color w:val="0070C0"/>
        </w:rPr>
        <w:t>Infiltration volumes and rates along sections of the SVID will be conducted to better understand the quantity of groundwater recharger able to be achieved through ditch infiltration</w:t>
      </w:r>
      <w:r w:rsidRPr="0006648A">
        <w:rPr>
          <w:b/>
          <w:bCs/>
          <w:color w:val="0070C0"/>
        </w:rPr>
        <w:t>.</w:t>
      </w:r>
      <w:r w:rsidRPr="008C1065">
        <w:rPr>
          <w:b/>
          <w:bCs/>
        </w:rPr>
        <w:t xml:space="preserve"> </w:t>
      </w:r>
      <w:r w:rsidR="0006648A">
        <w:rPr>
          <w:strike/>
          <w:color w:val="FF0000"/>
        </w:rPr>
        <w:t xml:space="preserve">This task involves monitoring design, diverting under appropriate conditions, completing data collection, and reporting. Monitoring efforts include a network of monitoring wells for each site to measure changes in groundwater levels in areas anticipated to be impacted by ditch infiltration and control well as a point of comparison. </w:t>
      </w:r>
      <w:r w:rsidR="000045CC">
        <w:rPr>
          <w:strike/>
          <w:color w:val="FF0000"/>
        </w:rPr>
        <w:t xml:space="preserve">Flow targets, when flows exceed instream flow needs for fish, will be developed as a framework for diversion and biological monitoring will be conducted to ensure no adverse effects on fish. </w:t>
      </w:r>
      <w:r w:rsidRPr="000045CC">
        <w:rPr>
          <w:color w:val="0070C0"/>
        </w:rPr>
        <w:t>These new observations will be used to refine the numerical model, and then the current conditions and future</w:t>
      </w:r>
      <w:r>
        <w:t xml:space="preserve"> </w:t>
      </w:r>
      <w:r w:rsidR="000045CC">
        <w:rPr>
          <w:strike/>
          <w:color w:val="FF0000"/>
        </w:rPr>
        <w:t xml:space="preserve">The </w:t>
      </w:r>
      <w:r w:rsidR="000D7BE1" w:rsidRPr="000D7BE1">
        <w:t xml:space="preserve">model will be used to evaluate benefits and examine long term scenarios based on the timing and duration of winter ditch use under different conditions and water year types. </w:t>
      </w:r>
      <w:r w:rsidRPr="000045CC">
        <w:rPr>
          <w:color w:val="0070C0"/>
        </w:rPr>
        <w:t xml:space="preserve">These results will also be used to evaluate if using unlined irrigation ditches for groundwater recharge is a feasible groundwater recharge mechanism that provides measurable benefits to groundwater levels and instream flows. Results from geochemical samples will be used to understand and/ or validate groundwater recharge dynamics from ditch infiltration. </w:t>
      </w:r>
      <w:r w:rsidR="00B940B3" w:rsidRPr="000045CC">
        <w:rPr>
          <w:color w:val="0070C0"/>
        </w:rPr>
        <w:t>This will enable more precise reporting in permit summary reports on the water recharged through the ditch versus the water applied to fields</w:t>
      </w:r>
      <w:r w:rsidR="007E1719" w:rsidRPr="000045CC">
        <w:rPr>
          <w:color w:val="0070C0"/>
        </w:rPr>
        <w:t>. This</w:t>
      </w:r>
      <w:r w:rsidR="00B940B3" w:rsidRPr="000045CC">
        <w:rPr>
          <w:color w:val="0070C0"/>
        </w:rPr>
        <w:t xml:space="preserve"> will</w:t>
      </w:r>
      <w:r w:rsidR="007E1719" w:rsidRPr="000045CC">
        <w:rPr>
          <w:color w:val="0070C0"/>
        </w:rPr>
        <w:t xml:space="preserve"> provide</w:t>
      </w:r>
      <w:r w:rsidR="001F529D" w:rsidRPr="000045CC">
        <w:rPr>
          <w:color w:val="0070C0"/>
        </w:rPr>
        <w:t xml:space="preserve"> greater understanding of </w:t>
      </w:r>
      <w:r w:rsidR="001F0AEF" w:rsidRPr="000045CC">
        <w:rPr>
          <w:color w:val="0070C0"/>
        </w:rPr>
        <w:t>the path and timing of the recharged water to the river</w:t>
      </w:r>
      <w:r w:rsidR="00D370CB" w:rsidRPr="000045CC">
        <w:rPr>
          <w:color w:val="0070C0"/>
        </w:rPr>
        <w:t>,</w:t>
      </w:r>
      <w:r w:rsidR="007E1719" w:rsidRPr="000045CC">
        <w:rPr>
          <w:color w:val="0070C0"/>
        </w:rPr>
        <w:t xml:space="preserve"> which will influence estimates of timing and benefits</w:t>
      </w:r>
      <w:r w:rsidR="00781D37" w:rsidRPr="000045CC">
        <w:rPr>
          <w:color w:val="0070C0"/>
        </w:rPr>
        <w:t xml:space="preserve"> by SVIHM</w:t>
      </w:r>
      <w:r w:rsidR="00000E06" w:rsidRPr="000045CC">
        <w:rPr>
          <w:color w:val="0070C0"/>
        </w:rPr>
        <w:t xml:space="preserve">. </w:t>
      </w:r>
      <w:r w:rsidRPr="000045CC">
        <w:rPr>
          <w:color w:val="0070C0"/>
        </w:rPr>
        <w:t>Work under this task also includes any ditch infrastructure improvements or added monitoring to better delineate the rate and location of ditch infiltration throughout the recharge period</w:t>
      </w:r>
      <w:r w:rsidR="00782705" w:rsidRPr="000045CC">
        <w:rPr>
          <w:color w:val="0070C0"/>
        </w:rPr>
        <w:t xml:space="preserve"> to improve ditch infiltration estimates</w:t>
      </w:r>
      <w:r w:rsidRPr="000045CC">
        <w:rPr>
          <w:color w:val="0070C0"/>
        </w:rPr>
        <w:t xml:space="preserve">.  </w:t>
      </w:r>
      <w:r w:rsidR="00143D2B" w:rsidRPr="000045CC">
        <w:rPr>
          <w:color w:val="0070C0"/>
        </w:rPr>
        <w:t xml:space="preserve">This is primarily to improve monitoring to better account for water diverted onto fields used for recharge. This may include pipe flow sensors or weir boxes and concrete boxes and debris screens, as necessary. These would be located within or adjacent to the ditch and are not anticipated to require permits. Improvements to diversion measurements at Young’s Dam may include improving the flashboards for a more stable rating curve. This is all to contribute to gathering reliable continuous data to track water more precisely. </w:t>
      </w:r>
      <w:r w:rsidR="000D7BE1" w:rsidRPr="000D7BE1">
        <w:t>Work under this task will be primarily completed by the subcontractor.</w:t>
      </w:r>
    </w:p>
    <w:p w14:paraId="73D3B66D" w14:textId="4CABAF2B" w:rsidR="002059C7" w:rsidRDefault="000D7BE1" w:rsidP="000D7BE1">
      <w:r w:rsidRPr="000D7BE1">
        <w:t xml:space="preserve">Deliverables: Final monitoring design plan, estimated completion by </w:t>
      </w:r>
      <w:r w:rsidR="008C1065" w:rsidRPr="000045CC">
        <w:rPr>
          <w:color w:val="0070C0"/>
        </w:rPr>
        <w:t xml:space="preserve">September 31, </w:t>
      </w:r>
      <w:proofErr w:type="gramStart"/>
      <w:r w:rsidR="008C1065" w:rsidRPr="000045CC">
        <w:rPr>
          <w:color w:val="0070C0"/>
        </w:rPr>
        <w:t>2024</w:t>
      </w:r>
      <w:proofErr w:type="gramEnd"/>
      <w:r w:rsidR="000045CC">
        <w:rPr>
          <w:color w:val="0070C0"/>
        </w:rPr>
        <w:t xml:space="preserve"> </w:t>
      </w:r>
      <w:r w:rsidR="000045CC">
        <w:rPr>
          <w:strike/>
          <w:color w:val="FF0000"/>
        </w:rPr>
        <w:t>November 30, 2023</w:t>
      </w:r>
      <w:r w:rsidRPr="000D7BE1">
        <w:t>. Data collection annually by June 1st, Diversion records and reporting annually by June 1st.</w:t>
      </w:r>
      <w:r w:rsidR="00C3340B">
        <w:t xml:space="preserve"> </w:t>
      </w:r>
      <w:r w:rsidR="00C3340B" w:rsidRPr="000045CC">
        <w:rPr>
          <w:color w:val="0070C0"/>
        </w:rPr>
        <w:t>Summary reports of water levels</w:t>
      </w:r>
      <w:r w:rsidR="00D45DAA" w:rsidRPr="000045CC">
        <w:rPr>
          <w:color w:val="0070C0"/>
        </w:rPr>
        <w:t xml:space="preserve">, geochemical, and isotope data annually by </w:t>
      </w:r>
      <w:r w:rsidR="00AE5939" w:rsidRPr="000045CC">
        <w:rPr>
          <w:color w:val="0070C0"/>
        </w:rPr>
        <w:t>August</w:t>
      </w:r>
      <w:r w:rsidR="00D45DAA" w:rsidRPr="000045CC">
        <w:rPr>
          <w:color w:val="0070C0"/>
        </w:rPr>
        <w:t xml:space="preserve"> 1</w:t>
      </w:r>
      <w:r w:rsidR="00D45DAA" w:rsidRPr="000045CC">
        <w:rPr>
          <w:color w:val="0070C0"/>
          <w:vertAlign w:val="superscript"/>
        </w:rPr>
        <w:t>st</w:t>
      </w:r>
      <w:r w:rsidR="00D45DAA">
        <w:t xml:space="preserve">, </w:t>
      </w:r>
      <w:r w:rsidRPr="000D7BE1">
        <w:t>Final report, estimated completion by March 15, 2026.</w:t>
      </w:r>
    </w:p>
    <w:p w14:paraId="336093EF" w14:textId="77777777" w:rsidR="002021B9" w:rsidRDefault="002021B9" w:rsidP="000D7BE1"/>
    <w:p w14:paraId="0398CD62" w14:textId="77777777" w:rsidR="002021B9" w:rsidRDefault="002021B9" w:rsidP="000D7BE1"/>
    <w:p w14:paraId="1C45A313" w14:textId="77777777" w:rsidR="002021B9" w:rsidRDefault="002021B9" w:rsidP="000D7BE1"/>
    <w:p w14:paraId="7A72D08A" w14:textId="77777777" w:rsidR="002021B9" w:rsidRDefault="002021B9" w:rsidP="000D7BE1"/>
    <w:p w14:paraId="198999F9" w14:textId="088EA7CA" w:rsidR="00CF589C" w:rsidRDefault="008C1065">
      <w:pPr>
        <w:jc w:val="both"/>
      </w:pPr>
      <w:r>
        <w:rPr>
          <w:b/>
          <w:bCs/>
          <w:sz w:val="24"/>
          <w:szCs w:val="24"/>
          <w:u w:val="single"/>
        </w:rPr>
        <w:lastRenderedPageBreak/>
        <w:t xml:space="preserve">Page 9, </w:t>
      </w:r>
      <w:r w:rsidRPr="007230DE">
        <w:rPr>
          <w:b/>
          <w:bCs/>
          <w:sz w:val="24"/>
          <w:szCs w:val="24"/>
          <w:u w:val="single"/>
        </w:rPr>
        <w:t>SECTION 9 – BUDGET AND PAYMENT: 9.01 Budget Details and Funding Summary:</w:t>
      </w:r>
      <w:r w:rsidR="00CF589C">
        <w:rPr>
          <w:rFonts w:ascii="Arial" w:eastAsia="Arial" w:hAnsi="Arial" w:cs="Arial"/>
          <w:spacing w:val="-2"/>
          <w:sz w:val="24"/>
        </w:rPr>
        <w:fldChar w:fldCharType="begin"/>
      </w:r>
      <w:r w:rsidR="00CF589C">
        <w:rPr>
          <w:rFonts w:ascii="Arial" w:eastAsia="Arial" w:hAnsi="Arial" w:cs="Arial"/>
          <w:spacing w:val="-2"/>
          <w:sz w:val="24"/>
        </w:rPr>
        <w:instrText xml:space="preserve"> LINK </w:instrText>
      </w:r>
      <w:r w:rsidR="00231295">
        <w:rPr>
          <w:rFonts w:ascii="Arial" w:eastAsia="Arial" w:hAnsi="Arial" w:cs="Arial"/>
          <w:spacing w:val="-2"/>
          <w:sz w:val="24"/>
        </w:rPr>
        <w:instrText xml:space="preserve">Excel.Sheet.12 "\\\\sisqcc01a.sisq.lan\\Departments\\Administrator\\Matt P\\SGMA\\Grants\\CDFW\\CDFW SVID Recharge Implementation\\CDFW Final Reports\\CDFW Grant Q2296039 Budget Amendment_2024-08-16.xlsx" "Budget Amendment #1!Print_Area" </w:instrText>
      </w:r>
      <w:r w:rsidR="00CF589C">
        <w:rPr>
          <w:rFonts w:ascii="Arial" w:eastAsia="Arial" w:hAnsi="Arial" w:cs="Arial"/>
          <w:spacing w:val="-2"/>
          <w:sz w:val="24"/>
        </w:rPr>
        <w:instrText xml:space="preserve">\a \f 5 \h  \* MERGEFORMAT </w:instrText>
      </w:r>
      <w:r w:rsidR="00CF589C">
        <w:rPr>
          <w:rFonts w:ascii="Arial" w:eastAsia="Arial" w:hAnsi="Arial" w:cs="Arial"/>
          <w:spacing w:val="-2"/>
          <w:sz w:val="24"/>
        </w:rPr>
        <w:fldChar w:fldCharType="separate"/>
      </w:r>
      <w:bookmarkStart w:id="1" w:name="RANGE!A1:F24"/>
    </w:p>
    <w:tbl>
      <w:tblPr>
        <w:tblStyle w:val="TableGrid"/>
        <w:tblW w:w="9957" w:type="dxa"/>
        <w:tblLook w:val="04A0" w:firstRow="1" w:lastRow="0" w:firstColumn="1" w:lastColumn="0" w:noHBand="0" w:noVBand="1"/>
      </w:tblPr>
      <w:tblGrid>
        <w:gridCol w:w="2733"/>
        <w:gridCol w:w="1725"/>
        <w:gridCol w:w="1837"/>
        <w:gridCol w:w="1415"/>
        <w:gridCol w:w="911"/>
        <w:gridCol w:w="1336"/>
      </w:tblGrid>
      <w:tr w:rsidR="006F7B75" w:rsidRPr="005B6392" w14:paraId="642F331D" w14:textId="77777777" w:rsidTr="007230DE">
        <w:trPr>
          <w:trHeight w:val="617"/>
        </w:trPr>
        <w:tc>
          <w:tcPr>
            <w:tcW w:w="2775" w:type="dxa"/>
            <w:hideMark/>
          </w:tcPr>
          <w:p w14:paraId="3DD68BC8" w14:textId="0D15D499"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Category</w:t>
            </w:r>
            <w:bookmarkEnd w:id="1"/>
          </w:p>
        </w:tc>
        <w:tc>
          <w:tcPr>
            <w:tcW w:w="1725" w:type="dxa"/>
            <w:hideMark/>
          </w:tcPr>
          <w:p w14:paraId="6ABD41C2"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Total Budget</w:t>
            </w:r>
          </w:p>
        </w:tc>
        <w:tc>
          <w:tcPr>
            <w:tcW w:w="1795" w:type="dxa"/>
            <w:hideMark/>
          </w:tcPr>
          <w:p w14:paraId="7990A1F7"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xml:space="preserve"> Total Budget Amendment </w:t>
            </w:r>
          </w:p>
        </w:tc>
        <w:tc>
          <w:tcPr>
            <w:tcW w:w="1415" w:type="dxa"/>
            <w:hideMark/>
          </w:tcPr>
          <w:p w14:paraId="3CA26F8D"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xml:space="preserve"> change (+/-) </w:t>
            </w:r>
          </w:p>
        </w:tc>
        <w:tc>
          <w:tcPr>
            <w:tcW w:w="911" w:type="dxa"/>
            <w:hideMark/>
          </w:tcPr>
          <w:p w14:paraId="3E9E4093"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xml:space="preserve"> % of change </w:t>
            </w:r>
          </w:p>
        </w:tc>
        <w:tc>
          <w:tcPr>
            <w:tcW w:w="1336" w:type="dxa"/>
            <w:hideMark/>
          </w:tcPr>
          <w:p w14:paraId="582024C3"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xml:space="preserve"> Note </w:t>
            </w:r>
          </w:p>
        </w:tc>
      </w:tr>
      <w:tr w:rsidR="006F7B75" w:rsidRPr="005B6392" w14:paraId="746C5B29" w14:textId="77777777" w:rsidTr="007230DE">
        <w:trPr>
          <w:trHeight w:val="300"/>
        </w:trPr>
        <w:tc>
          <w:tcPr>
            <w:tcW w:w="2775" w:type="dxa"/>
            <w:hideMark/>
          </w:tcPr>
          <w:p w14:paraId="01C8DD6B"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A. Personnel Services</w:t>
            </w:r>
          </w:p>
        </w:tc>
        <w:tc>
          <w:tcPr>
            <w:tcW w:w="1725" w:type="dxa"/>
            <w:hideMark/>
          </w:tcPr>
          <w:p w14:paraId="11E30B58"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w:t>
            </w:r>
          </w:p>
        </w:tc>
        <w:tc>
          <w:tcPr>
            <w:tcW w:w="1795" w:type="dxa"/>
            <w:hideMark/>
          </w:tcPr>
          <w:p w14:paraId="4E36EEA9"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w:t>
            </w:r>
          </w:p>
        </w:tc>
        <w:tc>
          <w:tcPr>
            <w:tcW w:w="1415" w:type="dxa"/>
            <w:hideMark/>
          </w:tcPr>
          <w:p w14:paraId="2C6EA303"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w:t>
            </w:r>
          </w:p>
        </w:tc>
        <w:tc>
          <w:tcPr>
            <w:tcW w:w="911" w:type="dxa"/>
            <w:hideMark/>
          </w:tcPr>
          <w:p w14:paraId="2B7066DC"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w:t>
            </w:r>
          </w:p>
        </w:tc>
        <w:tc>
          <w:tcPr>
            <w:tcW w:w="1336" w:type="dxa"/>
            <w:noWrap/>
            <w:hideMark/>
          </w:tcPr>
          <w:p w14:paraId="1226C550"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7B9FDEAA" w14:textId="77777777" w:rsidTr="007230DE">
        <w:trPr>
          <w:trHeight w:val="602"/>
        </w:trPr>
        <w:tc>
          <w:tcPr>
            <w:tcW w:w="2775" w:type="dxa"/>
            <w:hideMark/>
          </w:tcPr>
          <w:p w14:paraId="7BF23092"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1 Siskiyou Co NR Specialist/GSA SGMA Plan Manager</w:t>
            </w:r>
          </w:p>
        </w:tc>
        <w:tc>
          <w:tcPr>
            <w:tcW w:w="1725" w:type="dxa"/>
            <w:noWrap/>
            <w:hideMark/>
          </w:tcPr>
          <w:p w14:paraId="153E5AD6"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68,000.00 </w:t>
            </w:r>
          </w:p>
        </w:tc>
        <w:tc>
          <w:tcPr>
            <w:tcW w:w="1795" w:type="dxa"/>
            <w:noWrap/>
            <w:hideMark/>
          </w:tcPr>
          <w:p w14:paraId="142F78B8"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68,000.00 </w:t>
            </w:r>
          </w:p>
        </w:tc>
        <w:tc>
          <w:tcPr>
            <w:tcW w:w="1415" w:type="dxa"/>
            <w:noWrap/>
            <w:hideMark/>
          </w:tcPr>
          <w:p w14:paraId="7C36EE6D"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   </w:t>
            </w:r>
          </w:p>
        </w:tc>
        <w:tc>
          <w:tcPr>
            <w:tcW w:w="911" w:type="dxa"/>
            <w:noWrap/>
            <w:hideMark/>
          </w:tcPr>
          <w:p w14:paraId="6265C5A7"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0%</w:t>
            </w:r>
          </w:p>
        </w:tc>
        <w:tc>
          <w:tcPr>
            <w:tcW w:w="1336" w:type="dxa"/>
            <w:noWrap/>
            <w:hideMark/>
          </w:tcPr>
          <w:p w14:paraId="755C93D2"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4FBF397E" w14:textId="77777777" w:rsidTr="007230DE">
        <w:trPr>
          <w:trHeight w:val="300"/>
        </w:trPr>
        <w:tc>
          <w:tcPr>
            <w:tcW w:w="2775" w:type="dxa"/>
            <w:hideMark/>
          </w:tcPr>
          <w:p w14:paraId="3F2E17DE"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Staff Benefits </w:t>
            </w:r>
          </w:p>
        </w:tc>
        <w:tc>
          <w:tcPr>
            <w:tcW w:w="1725" w:type="dxa"/>
            <w:noWrap/>
            <w:hideMark/>
          </w:tcPr>
          <w:p w14:paraId="66568014"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   </w:t>
            </w:r>
          </w:p>
        </w:tc>
        <w:tc>
          <w:tcPr>
            <w:tcW w:w="1795" w:type="dxa"/>
            <w:noWrap/>
            <w:hideMark/>
          </w:tcPr>
          <w:p w14:paraId="1F7C76B4"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   </w:t>
            </w:r>
          </w:p>
        </w:tc>
        <w:tc>
          <w:tcPr>
            <w:tcW w:w="1415" w:type="dxa"/>
            <w:noWrap/>
            <w:hideMark/>
          </w:tcPr>
          <w:p w14:paraId="04E29F67"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   </w:t>
            </w:r>
          </w:p>
        </w:tc>
        <w:tc>
          <w:tcPr>
            <w:tcW w:w="911" w:type="dxa"/>
            <w:noWrap/>
            <w:hideMark/>
          </w:tcPr>
          <w:p w14:paraId="0509D4E4"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c>
          <w:tcPr>
            <w:tcW w:w="1336" w:type="dxa"/>
            <w:noWrap/>
            <w:hideMark/>
          </w:tcPr>
          <w:p w14:paraId="6538D138"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079874F3" w14:textId="77777777" w:rsidTr="007230DE">
        <w:trPr>
          <w:trHeight w:val="315"/>
        </w:trPr>
        <w:tc>
          <w:tcPr>
            <w:tcW w:w="2775" w:type="dxa"/>
            <w:hideMark/>
          </w:tcPr>
          <w:p w14:paraId="760D830B"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xml:space="preserve"> Total Personnel Services </w:t>
            </w:r>
          </w:p>
        </w:tc>
        <w:tc>
          <w:tcPr>
            <w:tcW w:w="1725" w:type="dxa"/>
            <w:noWrap/>
            <w:hideMark/>
          </w:tcPr>
          <w:p w14:paraId="7F6928E4"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xml:space="preserve"> $        68,000.00 </w:t>
            </w:r>
          </w:p>
        </w:tc>
        <w:tc>
          <w:tcPr>
            <w:tcW w:w="1795" w:type="dxa"/>
            <w:noWrap/>
            <w:hideMark/>
          </w:tcPr>
          <w:p w14:paraId="0052A240"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xml:space="preserve"> $               68,000.00 </w:t>
            </w:r>
          </w:p>
        </w:tc>
        <w:tc>
          <w:tcPr>
            <w:tcW w:w="1415" w:type="dxa"/>
            <w:noWrap/>
            <w:hideMark/>
          </w:tcPr>
          <w:p w14:paraId="7D27289E"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xml:space="preserve"> $                    -   </w:t>
            </w:r>
          </w:p>
        </w:tc>
        <w:tc>
          <w:tcPr>
            <w:tcW w:w="911" w:type="dxa"/>
            <w:noWrap/>
            <w:hideMark/>
          </w:tcPr>
          <w:p w14:paraId="624E3E84"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0%</w:t>
            </w:r>
          </w:p>
        </w:tc>
        <w:tc>
          <w:tcPr>
            <w:tcW w:w="1336" w:type="dxa"/>
            <w:noWrap/>
            <w:hideMark/>
          </w:tcPr>
          <w:p w14:paraId="6EC1459C"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43E6D926" w14:textId="77777777" w:rsidTr="007230DE">
        <w:trPr>
          <w:trHeight w:val="300"/>
        </w:trPr>
        <w:tc>
          <w:tcPr>
            <w:tcW w:w="2775" w:type="dxa"/>
            <w:hideMark/>
          </w:tcPr>
          <w:p w14:paraId="7ECB4ABE"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B. Operating Expenses: General</w:t>
            </w:r>
          </w:p>
        </w:tc>
        <w:tc>
          <w:tcPr>
            <w:tcW w:w="1725" w:type="dxa"/>
            <w:noWrap/>
            <w:hideMark/>
          </w:tcPr>
          <w:p w14:paraId="57FF4B44"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w:t>
            </w:r>
          </w:p>
        </w:tc>
        <w:tc>
          <w:tcPr>
            <w:tcW w:w="1795" w:type="dxa"/>
            <w:noWrap/>
            <w:hideMark/>
          </w:tcPr>
          <w:p w14:paraId="77F74D6F"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w:t>
            </w:r>
          </w:p>
        </w:tc>
        <w:tc>
          <w:tcPr>
            <w:tcW w:w="1415" w:type="dxa"/>
            <w:noWrap/>
            <w:hideMark/>
          </w:tcPr>
          <w:p w14:paraId="6562A471"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c>
          <w:tcPr>
            <w:tcW w:w="911" w:type="dxa"/>
            <w:noWrap/>
            <w:hideMark/>
          </w:tcPr>
          <w:p w14:paraId="144B6C7A"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c>
          <w:tcPr>
            <w:tcW w:w="1336" w:type="dxa"/>
            <w:noWrap/>
            <w:hideMark/>
          </w:tcPr>
          <w:p w14:paraId="2C8D4D9A"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657432E3" w14:textId="77777777" w:rsidTr="007230DE">
        <w:trPr>
          <w:trHeight w:val="602"/>
        </w:trPr>
        <w:tc>
          <w:tcPr>
            <w:tcW w:w="2775" w:type="dxa"/>
            <w:hideMark/>
          </w:tcPr>
          <w:p w14:paraId="0A25563B"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1 General Expenses (postage, office supplies) </w:t>
            </w:r>
          </w:p>
        </w:tc>
        <w:tc>
          <w:tcPr>
            <w:tcW w:w="1725" w:type="dxa"/>
            <w:noWrap/>
            <w:hideMark/>
          </w:tcPr>
          <w:p w14:paraId="5569DD97"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2,000.00 </w:t>
            </w:r>
          </w:p>
        </w:tc>
        <w:tc>
          <w:tcPr>
            <w:tcW w:w="1795" w:type="dxa"/>
            <w:noWrap/>
            <w:hideMark/>
          </w:tcPr>
          <w:p w14:paraId="5966C09F" w14:textId="46C5253F"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w:t>
            </w:r>
            <w:r w:rsidR="000045CC">
              <w:rPr>
                <w:rFonts w:eastAsia="Arial" w:cstheme="minorHAnsi"/>
                <w:strike/>
                <w:color w:val="FF0000"/>
                <w:spacing w:val="-2"/>
                <w:sz w:val="21"/>
                <w:szCs w:val="21"/>
              </w:rPr>
              <w:t>2</w:t>
            </w:r>
            <w:r w:rsidRPr="000045CC">
              <w:rPr>
                <w:rFonts w:eastAsia="Arial" w:cstheme="minorHAnsi"/>
                <w:color w:val="0070C0"/>
                <w:spacing w:val="-2"/>
                <w:sz w:val="21"/>
                <w:szCs w:val="21"/>
              </w:rPr>
              <w:t>5</w:t>
            </w:r>
            <w:r w:rsidRPr="007230DE">
              <w:rPr>
                <w:rFonts w:eastAsia="Arial" w:cstheme="minorHAnsi"/>
                <w:spacing w:val="-2"/>
                <w:sz w:val="21"/>
                <w:szCs w:val="21"/>
              </w:rPr>
              <w:t xml:space="preserve">,000.00 </w:t>
            </w:r>
          </w:p>
        </w:tc>
        <w:tc>
          <w:tcPr>
            <w:tcW w:w="1415" w:type="dxa"/>
            <w:noWrap/>
            <w:hideMark/>
          </w:tcPr>
          <w:p w14:paraId="55F87AA3"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3,000.00 </w:t>
            </w:r>
          </w:p>
        </w:tc>
        <w:tc>
          <w:tcPr>
            <w:tcW w:w="911" w:type="dxa"/>
            <w:noWrap/>
            <w:hideMark/>
          </w:tcPr>
          <w:p w14:paraId="3885A81D"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150%</w:t>
            </w:r>
          </w:p>
        </w:tc>
        <w:tc>
          <w:tcPr>
            <w:tcW w:w="1336" w:type="dxa"/>
            <w:noWrap/>
            <w:hideMark/>
          </w:tcPr>
          <w:p w14:paraId="7A8F45C3"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34116C87" w14:textId="77777777" w:rsidTr="007230DE">
        <w:trPr>
          <w:trHeight w:val="300"/>
        </w:trPr>
        <w:tc>
          <w:tcPr>
            <w:tcW w:w="2775" w:type="dxa"/>
            <w:hideMark/>
          </w:tcPr>
          <w:p w14:paraId="35D121C8"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2 Field Supplies</w:t>
            </w:r>
          </w:p>
        </w:tc>
        <w:tc>
          <w:tcPr>
            <w:tcW w:w="1725" w:type="dxa"/>
            <w:noWrap/>
            <w:hideMark/>
          </w:tcPr>
          <w:p w14:paraId="3309BE0A"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5,000.00 </w:t>
            </w:r>
          </w:p>
        </w:tc>
        <w:tc>
          <w:tcPr>
            <w:tcW w:w="1795" w:type="dxa"/>
            <w:noWrap/>
            <w:hideMark/>
          </w:tcPr>
          <w:p w14:paraId="17CC4AF2" w14:textId="6B73CAB4"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w:t>
            </w:r>
            <w:r w:rsidR="000045CC">
              <w:rPr>
                <w:rFonts w:eastAsia="Arial" w:cstheme="minorHAnsi"/>
                <w:strike/>
                <w:color w:val="FF0000"/>
                <w:spacing w:val="-2"/>
                <w:sz w:val="21"/>
                <w:szCs w:val="21"/>
              </w:rPr>
              <w:t>5</w:t>
            </w:r>
            <w:r w:rsidRPr="000045CC">
              <w:rPr>
                <w:rFonts w:eastAsia="Arial" w:cstheme="minorHAnsi"/>
                <w:color w:val="0070C0"/>
                <w:spacing w:val="-2"/>
                <w:sz w:val="21"/>
                <w:szCs w:val="21"/>
              </w:rPr>
              <w:t>7</w:t>
            </w:r>
            <w:r w:rsidRPr="007230DE">
              <w:rPr>
                <w:rFonts w:eastAsia="Arial" w:cstheme="minorHAnsi"/>
                <w:spacing w:val="-2"/>
                <w:sz w:val="21"/>
                <w:szCs w:val="21"/>
              </w:rPr>
              <w:t xml:space="preserve">,000.00 </w:t>
            </w:r>
          </w:p>
        </w:tc>
        <w:tc>
          <w:tcPr>
            <w:tcW w:w="1415" w:type="dxa"/>
            <w:noWrap/>
            <w:hideMark/>
          </w:tcPr>
          <w:p w14:paraId="1363DA11"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2,000.00 </w:t>
            </w:r>
          </w:p>
        </w:tc>
        <w:tc>
          <w:tcPr>
            <w:tcW w:w="911" w:type="dxa"/>
            <w:noWrap/>
            <w:hideMark/>
          </w:tcPr>
          <w:p w14:paraId="78B181D5"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40%</w:t>
            </w:r>
          </w:p>
        </w:tc>
        <w:tc>
          <w:tcPr>
            <w:tcW w:w="1336" w:type="dxa"/>
            <w:noWrap/>
            <w:hideMark/>
          </w:tcPr>
          <w:p w14:paraId="4CCEC968"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1E3EDBD5" w14:textId="77777777" w:rsidTr="007230DE">
        <w:trPr>
          <w:trHeight w:val="300"/>
        </w:trPr>
        <w:tc>
          <w:tcPr>
            <w:tcW w:w="2775" w:type="dxa"/>
            <w:hideMark/>
          </w:tcPr>
          <w:p w14:paraId="1B7D5767"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3 Fees for Diverted Water</w:t>
            </w:r>
          </w:p>
        </w:tc>
        <w:tc>
          <w:tcPr>
            <w:tcW w:w="1725" w:type="dxa"/>
            <w:noWrap/>
            <w:hideMark/>
          </w:tcPr>
          <w:p w14:paraId="328ED486"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3,240.00 </w:t>
            </w:r>
          </w:p>
        </w:tc>
        <w:tc>
          <w:tcPr>
            <w:tcW w:w="1795" w:type="dxa"/>
            <w:noWrap/>
            <w:hideMark/>
          </w:tcPr>
          <w:p w14:paraId="2C7BE4CF"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   </w:t>
            </w:r>
          </w:p>
        </w:tc>
        <w:tc>
          <w:tcPr>
            <w:tcW w:w="1415" w:type="dxa"/>
            <w:noWrap/>
            <w:hideMark/>
          </w:tcPr>
          <w:p w14:paraId="2805A1A8"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w:t>
            </w:r>
            <w:proofErr w:type="gramStart"/>
            <w:r w:rsidRPr="007230DE">
              <w:rPr>
                <w:rFonts w:eastAsia="Arial" w:cstheme="minorHAnsi"/>
                <w:spacing w:val="-2"/>
                <w:sz w:val="21"/>
                <w:szCs w:val="21"/>
              </w:rPr>
              <w:t xml:space="preserve">   (</w:t>
            </w:r>
            <w:proofErr w:type="gramEnd"/>
            <w:r w:rsidRPr="007230DE">
              <w:rPr>
                <w:rFonts w:eastAsia="Arial" w:cstheme="minorHAnsi"/>
                <w:spacing w:val="-2"/>
                <w:sz w:val="21"/>
                <w:szCs w:val="21"/>
              </w:rPr>
              <w:t>3,240.00)</w:t>
            </w:r>
          </w:p>
        </w:tc>
        <w:tc>
          <w:tcPr>
            <w:tcW w:w="911" w:type="dxa"/>
            <w:noWrap/>
            <w:hideMark/>
          </w:tcPr>
          <w:p w14:paraId="7B17764E"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-100%</w:t>
            </w:r>
          </w:p>
        </w:tc>
        <w:tc>
          <w:tcPr>
            <w:tcW w:w="1336" w:type="dxa"/>
            <w:noWrap/>
            <w:hideMark/>
          </w:tcPr>
          <w:p w14:paraId="4E228B17"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6F0412CE" w14:textId="77777777" w:rsidTr="007230DE">
        <w:trPr>
          <w:trHeight w:val="300"/>
        </w:trPr>
        <w:tc>
          <w:tcPr>
            <w:tcW w:w="2775" w:type="dxa"/>
            <w:hideMark/>
          </w:tcPr>
          <w:p w14:paraId="6C843220"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4 Travel - Accommodation</w:t>
            </w:r>
          </w:p>
        </w:tc>
        <w:tc>
          <w:tcPr>
            <w:tcW w:w="1725" w:type="dxa"/>
            <w:noWrap/>
            <w:hideMark/>
          </w:tcPr>
          <w:p w14:paraId="2683D4DC"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7,920.00 </w:t>
            </w:r>
          </w:p>
        </w:tc>
        <w:tc>
          <w:tcPr>
            <w:tcW w:w="1795" w:type="dxa"/>
            <w:noWrap/>
            <w:hideMark/>
          </w:tcPr>
          <w:p w14:paraId="2A89D0AB" w14:textId="7291F40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w:t>
            </w:r>
            <w:r w:rsidRPr="000045CC">
              <w:rPr>
                <w:rFonts w:eastAsia="Arial" w:cstheme="minorHAnsi"/>
                <w:color w:val="0070C0"/>
                <w:spacing w:val="-2"/>
                <w:sz w:val="21"/>
                <w:szCs w:val="21"/>
              </w:rPr>
              <w:t xml:space="preserve"> </w:t>
            </w:r>
            <w:r w:rsidR="000045CC">
              <w:rPr>
                <w:rFonts w:eastAsia="Arial" w:cstheme="minorHAnsi"/>
                <w:strike/>
                <w:color w:val="FF0000"/>
                <w:spacing w:val="-2"/>
                <w:sz w:val="21"/>
                <w:szCs w:val="21"/>
              </w:rPr>
              <w:t>7,920</w:t>
            </w:r>
            <w:r w:rsidRPr="000045CC">
              <w:rPr>
                <w:rFonts w:eastAsia="Arial" w:cstheme="minorHAnsi"/>
                <w:color w:val="0070C0"/>
                <w:spacing w:val="-2"/>
                <w:sz w:val="21"/>
                <w:szCs w:val="21"/>
              </w:rPr>
              <w:t>2,000</w:t>
            </w:r>
            <w:r w:rsidRPr="007230DE">
              <w:rPr>
                <w:rFonts w:eastAsia="Arial" w:cstheme="minorHAnsi"/>
                <w:spacing w:val="-2"/>
                <w:sz w:val="21"/>
                <w:szCs w:val="21"/>
              </w:rPr>
              <w:t xml:space="preserve">.00 </w:t>
            </w:r>
          </w:p>
        </w:tc>
        <w:tc>
          <w:tcPr>
            <w:tcW w:w="1415" w:type="dxa"/>
            <w:noWrap/>
            <w:hideMark/>
          </w:tcPr>
          <w:p w14:paraId="0416F44F"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w:t>
            </w:r>
            <w:proofErr w:type="gramStart"/>
            <w:r w:rsidRPr="007230DE">
              <w:rPr>
                <w:rFonts w:eastAsia="Arial" w:cstheme="minorHAnsi"/>
                <w:spacing w:val="-2"/>
                <w:sz w:val="21"/>
                <w:szCs w:val="21"/>
              </w:rPr>
              <w:t xml:space="preserve">   (</w:t>
            </w:r>
            <w:proofErr w:type="gramEnd"/>
            <w:r w:rsidRPr="007230DE">
              <w:rPr>
                <w:rFonts w:eastAsia="Arial" w:cstheme="minorHAnsi"/>
                <w:spacing w:val="-2"/>
                <w:sz w:val="21"/>
                <w:szCs w:val="21"/>
              </w:rPr>
              <w:t>5,920.00)</w:t>
            </w:r>
          </w:p>
        </w:tc>
        <w:tc>
          <w:tcPr>
            <w:tcW w:w="911" w:type="dxa"/>
            <w:noWrap/>
            <w:hideMark/>
          </w:tcPr>
          <w:p w14:paraId="7FA73969"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-75%</w:t>
            </w:r>
          </w:p>
        </w:tc>
        <w:tc>
          <w:tcPr>
            <w:tcW w:w="1336" w:type="dxa"/>
            <w:noWrap/>
            <w:hideMark/>
          </w:tcPr>
          <w:p w14:paraId="4D52729F"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7C6FEDC5" w14:textId="77777777" w:rsidTr="007230DE">
        <w:trPr>
          <w:trHeight w:val="300"/>
        </w:trPr>
        <w:tc>
          <w:tcPr>
            <w:tcW w:w="2775" w:type="dxa"/>
            <w:hideMark/>
          </w:tcPr>
          <w:p w14:paraId="0A5248E6"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5 Travel - Mileage</w:t>
            </w:r>
          </w:p>
        </w:tc>
        <w:tc>
          <w:tcPr>
            <w:tcW w:w="1725" w:type="dxa"/>
            <w:noWrap/>
            <w:hideMark/>
          </w:tcPr>
          <w:p w14:paraId="11C34DF0"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6,288.00 </w:t>
            </w:r>
          </w:p>
        </w:tc>
        <w:tc>
          <w:tcPr>
            <w:tcW w:w="1795" w:type="dxa"/>
            <w:noWrap/>
            <w:hideMark/>
          </w:tcPr>
          <w:p w14:paraId="0C91B460" w14:textId="414D0FFB"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xml:space="preserve"> $               </w:t>
            </w:r>
            <w:r w:rsidR="000045CC" w:rsidRPr="000045CC">
              <w:rPr>
                <w:rFonts w:eastAsia="Arial" w:cstheme="minorHAnsi"/>
                <w:strike/>
                <w:color w:val="FF0000"/>
                <w:spacing w:val="-2"/>
                <w:sz w:val="21"/>
                <w:szCs w:val="21"/>
              </w:rPr>
              <w:t>6,288</w:t>
            </w:r>
            <w:r w:rsidRPr="000045CC">
              <w:rPr>
                <w:rFonts w:eastAsia="Arial" w:cstheme="minorHAnsi"/>
                <w:color w:val="0070C0"/>
                <w:spacing w:val="-2"/>
                <w:sz w:val="21"/>
                <w:szCs w:val="21"/>
              </w:rPr>
              <w:t>12,334.00</w:t>
            </w:r>
            <w:r w:rsidRPr="007230DE">
              <w:rPr>
                <w:rFonts w:eastAsia="Arial" w:cstheme="minorHAnsi"/>
                <w:b/>
                <w:bCs/>
                <w:spacing w:val="-2"/>
                <w:sz w:val="21"/>
                <w:szCs w:val="21"/>
              </w:rPr>
              <w:t xml:space="preserve"> </w:t>
            </w:r>
          </w:p>
        </w:tc>
        <w:tc>
          <w:tcPr>
            <w:tcW w:w="1415" w:type="dxa"/>
            <w:noWrap/>
            <w:hideMark/>
          </w:tcPr>
          <w:p w14:paraId="4CC18597"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6,046.00 </w:t>
            </w:r>
          </w:p>
        </w:tc>
        <w:tc>
          <w:tcPr>
            <w:tcW w:w="911" w:type="dxa"/>
            <w:noWrap/>
            <w:hideMark/>
          </w:tcPr>
          <w:p w14:paraId="372ECCF8"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96%</w:t>
            </w:r>
          </w:p>
        </w:tc>
        <w:tc>
          <w:tcPr>
            <w:tcW w:w="1336" w:type="dxa"/>
            <w:noWrap/>
            <w:hideMark/>
          </w:tcPr>
          <w:p w14:paraId="197A1B24"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44FB7926" w14:textId="77777777" w:rsidTr="007230DE">
        <w:trPr>
          <w:trHeight w:val="315"/>
        </w:trPr>
        <w:tc>
          <w:tcPr>
            <w:tcW w:w="2775" w:type="dxa"/>
            <w:hideMark/>
          </w:tcPr>
          <w:p w14:paraId="6D019985"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Total Operating Expenses: General</w:t>
            </w:r>
          </w:p>
        </w:tc>
        <w:tc>
          <w:tcPr>
            <w:tcW w:w="1725" w:type="dxa"/>
            <w:noWrap/>
            <w:hideMark/>
          </w:tcPr>
          <w:p w14:paraId="716B865D"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xml:space="preserve"> $        24,448.00 </w:t>
            </w:r>
          </w:p>
        </w:tc>
        <w:tc>
          <w:tcPr>
            <w:tcW w:w="1795" w:type="dxa"/>
            <w:noWrap/>
            <w:hideMark/>
          </w:tcPr>
          <w:p w14:paraId="450E9226" w14:textId="10D9D84E"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xml:space="preserve"> $               </w:t>
            </w:r>
            <w:r w:rsidR="000045CC">
              <w:rPr>
                <w:rFonts w:eastAsia="Arial" w:cstheme="minorHAnsi"/>
                <w:b/>
                <w:bCs/>
                <w:strike/>
                <w:color w:val="FF0000"/>
                <w:spacing w:val="-2"/>
                <w:sz w:val="21"/>
                <w:szCs w:val="21"/>
              </w:rPr>
              <w:t>24,448</w:t>
            </w:r>
            <w:r w:rsidRPr="000045CC">
              <w:rPr>
                <w:rFonts w:eastAsia="Arial" w:cstheme="minorHAnsi"/>
                <w:b/>
                <w:bCs/>
                <w:color w:val="0070C0"/>
                <w:spacing w:val="-2"/>
                <w:sz w:val="21"/>
                <w:szCs w:val="21"/>
              </w:rPr>
              <w:t>26,334</w:t>
            </w:r>
            <w:r w:rsidRPr="007230DE">
              <w:rPr>
                <w:rFonts w:eastAsia="Arial" w:cstheme="minorHAnsi"/>
                <w:b/>
                <w:bCs/>
                <w:spacing w:val="-2"/>
                <w:sz w:val="21"/>
                <w:szCs w:val="21"/>
              </w:rPr>
              <w:t xml:space="preserve">.00 </w:t>
            </w:r>
          </w:p>
        </w:tc>
        <w:tc>
          <w:tcPr>
            <w:tcW w:w="1415" w:type="dxa"/>
            <w:noWrap/>
            <w:hideMark/>
          </w:tcPr>
          <w:p w14:paraId="5B099917"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1,886.00 </w:t>
            </w:r>
          </w:p>
        </w:tc>
        <w:tc>
          <w:tcPr>
            <w:tcW w:w="911" w:type="dxa"/>
            <w:noWrap/>
            <w:hideMark/>
          </w:tcPr>
          <w:p w14:paraId="1A42E6AB"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8%</w:t>
            </w:r>
          </w:p>
        </w:tc>
        <w:tc>
          <w:tcPr>
            <w:tcW w:w="1336" w:type="dxa"/>
            <w:noWrap/>
            <w:hideMark/>
          </w:tcPr>
          <w:p w14:paraId="1397E366"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24CF5FCD" w14:textId="77777777" w:rsidTr="007230DE">
        <w:trPr>
          <w:trHeight w:val="300"/>
        </w:trPr>
        <w:tc>
          <w:tcPr>
            <w:tcW w:w="2775" w:type="dxa"/>
            <w:hideMark/>
          </w:tcPr>
          <w:p w14:paraId="7E639060"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C. Operating Expenses: Subcontractors</w:t>
            </w:r>
          </w:p>
        </w:tc>
        <w:tc>
          <w:tcPr>
            <w:tcW w:w="1725" w:type="dxa"/>
            <w:noWrap/>
            <w:hideMark/>
          </w:tcPr>
          <w:p w14:paraId="4CA6B074"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c>
          <w:tcPr>
            <w:tcW w:w="1795" w:type="dxa"/>
            <w:noWrap/>
            <w:hideMark/>
          </w:tcPr>
          <w:p w14:paraId="31CC3C77"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w:t>
            </w:r>
          </w:p>
        </w:tc>
        <w:tc>
          <w:tcPr>
            <w:tcW w:w="1415" w:type="dxa"/>
            <w:noWrap/>
            <w:hideMark/>
          </w:tcPr>
          <w:p w14:paraId="03387168"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c>
          <w:tcPr>
            <w:tcW w:w="911" w:type="dxa"/>
            <w:noWrap/>
            <w:hideMark/>
          </w:tcPr>
          <w:p w14:paraId="276363E5"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c>
          <w:tcPr>
            <w:tcW w:w="1336" w:type="dxa"/>
            <w:noWrap/>
            <w:hideMark/>
          </w:tcPr>
          <w:p w14:paraId="2AFC1C1D"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7F3C60D1" w14:textId="77777777" w:rsidTr="007230DE">
        <w:trPr>
          <w:trHeight w:val="300"/>
        </w:trPr>
        <w:tc>
          <w:tcPr>
            <w:tcW w:w="2775" w:type="dxa"/>
            <w:hideMark/>
          </w:tcPr>
          <w:p w14:paraId="429AF817"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1 Sub-Consultant </w:t>
            </w:r>
          </w:p>
        </w:tc>
        <w:tc>
          <w:tcPr>
            <w:tcW w:w="1725" w:type="dxa"/>
            <w:noWrap/>
            <w:hideMark/>
          </w:tcPr>
          <w:p w14:paraId="4E2C622C"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670,000.00 </w:t>
            </w:r>
          </w:p>
        </w:tc>
        <w:tc>
          <w:tcPr>
            <w:tcW w:w="1795" w:type="dxa"/>
            <w:noWrap/>
            <w:hideMark/>
          </w:tcPr>
          <w:p w14:paraId="17BF0755" w14:textId="757CA902"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xml:space="preserve"> $             </w:t>
            </w:r>
            <w:r w:rsidR="000045CC">
              <w:rPr>
                <w:rFonts w:eastAsia="Arial" w:cstheme="minorHAnsi"/>
                <w:b/>
                <w:bCs/>
                <w:strike/>
                <w:color w:val="FF0000"/>
                <w:spacing w:val="-2"/>
                <w:sz w:val="21"/>
                <w:szCs w:val="21"/>
              </w:rPr>
              <w:t>670,000</w:t>
            </w:r>
            <w:r w:rsidRPr="000045CC">
              <w:rPr>
                <w:rFonts w:eastAsia="Arial" w:cstheme="minorHAnsi"/>
                <w:color w:val="0070C0"/>
                <w:spacing w:val="-2"/>
                <w:sz w:val="21"/>
                <w:szCs w:val="21"/>
              </w:rPr>
              <w:t>613,218</w:t>
            </w:r>
            <w:r w:rsidRPr="000045CC">
              <w:rPr>
                <w:rFonts w:eastAsia="Arial" w:cstheme="minorHAnsi"/>
                <w:spacing w:val="-2"/>
                <w:sz w:val="21"/>
                <w:szCs w:val="21"/>
              </w:rPr>
              <w:t xml:space="preserve">.00 </w:t>
            </w:r>
          </w:p>
        </w:tc>
        <w:tc>
          <w:tcPr>
            <w:tcW w:w="1415" w:type="dxa"/>
            <w:noWrap/>
            <w:hideMark/>
          </w:tcPr>
          <w:p w14:paraId="1688F716"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w:t>
            </w:r>
            <w:proofErr w:type="gramStart"/>
            <w:r w:rsidRPr="007230DE">
              <w:rPr>
                <w:rFonts w:eastAsia="Arial" w:cstheme="minorHAnsi"/>
                <w:spacing w:val="-2"/>
                <w:sz w:val="21"/>
                <w:szCs w:val="21"/>
              </w:rPr>
              <w:t xml:space="preserve">   (</w:t>
            </w:r>
            <w:proofErr w:type="gramEnd"/>
            <w:r w:rsidRPr="007230DE">
              <w:rPr>
                <w:rFonts w:eastAsia="Arial" w:cstheme="minorHAnsi"/>
                <w:spacing w:val="-2"/>
                <w:sz w:val="21"/>
                <w:szCs w:val="21"/>
              </w:rPr>
              <w:t>56,782.00)</w:t>
            </w:r>
          </w:p>
        </w:tc>
        <w:tc>
          <w:tcPr>
            <w:tcW w:w="911" w:type="dxa"/>
            <w:noWrap/>
            <w:hideMark/>
          </w:tcPr>
          <w:p w14:paraId="1F7BCB1B"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-8%</w:t>
            </w:r>
          </w:p>
        </w:tc>
        <w:tc>
          <w:tcPr>
            <w:tcW w:w="1336" w:type="dxa"/>
            <w:noWrap/>
            <w:hideMark/>
          </w:tcPr>
          <w:p w14:paraId="6B2B828E"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757DF5DE" w14:textId="77777777" w:rsidTr="007230DE">
        <w:trPr>
          <w:trHeight w:val="300"/>
        </w:trPr>
        <w:tc>
          <w:tcPr>
            <w:tcW w:w="2775" w:type="dxa"/>
            <w:hideMark/>
          </w:tcPr>
          <w:p w14:paraId="4A5B2D08"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2 Water Rights Consultant</w:t>
            </w:r>
          </w:p>
        </w:tc>
        <w:tc>
          <w:tcPr>
            <w:tcW w:w="1725" w:type="dxa"/>
            <w:noWrap/>
            <w:hideMark/>
          </w:tcPr>
          <w:p w14:paraId="26DB7688"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15,000.00 </w:t>
            </w:r>
          </w:p>
        </w:tc>
        <w:tc>
          <w:tcPr>
            <w:tcW w:w="1795" w:type="dxa"/>
            <w:noWrap/>
            <w:hideMark/>
          </w:tcPr>
          <w:p w14:paraId="4C5F0517" w14:textId="6599F4D4"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1</w:t>
            </w:r>
            <w:r w:rsidRPr="000045CC">
              <w:rPr>
                <w:rFonts w:eastAsia="Arial" w:cstheme="minorHAnsi"/>
                <w:color w:val="0070C0"/>
                <w:spacing w:val="-2"/>
                <w:sz w:val="21"/>
                <w:szCs w:val="21"/>
              </w:rPr>
              <w:t>9</w:t>
            </w:r>
            <w:r w:rsidR="000045CC">
              <w:rPr>
                <w:rFonts w:eastAsia="Arial" w:cstheme="minorHAnsi"/>
                <w:strike/>
                <w:color w:val="FF0000"/>
                <w:spacing w:val="-2"/>
                <w:sz w:val="21"/>
                <w:szCs w:val="21"/>
              </w:rPr>
              <w:t>5</w:t>
            </w:r>
            <w:r w:rsidRPr="007230DE">
              <w:rPr>
                <w:rFonts w:eastAsia="Arial" w:cstheme="minorHAnsi"/>
                <w:spacing w:val="-2"/>
                <w:sz w:val="21"/>
                <w:szCs w:val="21"/>
              </w:rPr>
              <w:t xml:space="preserve">,000.00 </w:t>
            </w:r>
          </w:p>
        </w:tc>
        <w:tc>
          <w:tcPr>
            <w:tcW w:w="1415" w:type="dxa"/>
            <w:noWrap/>
            <w:hideMark/>
          </w:tcPr>
          <w:p w14:paraId="74531A58"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4,000.00 </w:t>
            </w:r>
          </w:p>
        </w:tc>
        <w:tc>
          <w:tcPr>
            <w:tcW w:w="911" w:type="dxa"/>
            <w:noWrap/>
            <w:hideMark/>
          </w:tcPr>
          <w:p w14:paraId="33269DC0"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27%</w:t>
            </w:r>
          </w:p>
        </w:tc>
        <w:tc>
          <w:tcPr>
            <w:tcW w:w="1336" w:type="dxa"/>
            <w:noWrap/>
            <w:hideMark/>
          </w:tcPr>
          <w:p w14:paraId="6B7EAB49"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7EB4FE90" w14:textId="77777777" w:rsidTr="007230DE">
        <w:trPr>
          <w:trHeight w:val="300"/>
        </w:trPr>
        <w:tc>
          <w:tcPr>
            <w:tcW w:w="2775" w:type="dxa"/>
            <w:hideMark/>
          </w:tcPr>
          <w:p w14:paraId="7C4E4AA5"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3 Biological Monitoring</w:t>
            </w:r>
          </w:p>
        </w:tc>
        <w:tc>
          <w:tcPr>
            <w:tcW w:w="1725" w:type="dxa"/>
            <w:noWrap/>
            <w:hideMark/>
          </w:tcPr>
          <w:p w14:paraId="629285AA"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15,000.00 </w:t>
            </w:r>
          </w:p>
        </w:tc>
        <w:tc>
          <w:tcPr>
            <w:tcW w:w="1795" w:type="dxa"/>
            <w:noWrap/>
            <w:hideMark/>
          </w:tcPr>
          <w:p w14:paraId="2A1EAFFD"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15,000.00 </w:t>
            </w:r>
          </w:p>
        </w:tc>
        <w:tc>
          <w:tcPr>
            <w:tcW w:w="1415" w:type="dxa"/>
            <w:noWrap/>
            <w:hideMark/>
          </w:tcPr>
          <w:p w14:paraId="76523F98"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   </w:t>
            </w:r>
          </w:p>
        </w:tc>
        <w:tc>
          <w:tcPr>
            <w:tcW w:w="911" w:type="dxa"/>
            <w:noWrap/>
            <w:hideMark/>
          </w:tcPr>
          <w:p w14:paraId="4C5E9D62"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0%</w:t>
            </w:r>
          </w:p>
        </w:tc>
        <w:tc>
          <w:tcPr>
            <w:tcW w:w="1336" w:type="dxa"/>
            <w:noWrap/>
            <w:hideMark/>
          </w:tcPr>
          <w:p w14:paraId="64C8997B"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5725C86A" w14:textId="77777777" w:rsidTr="007230DE">
        <w:trPr>
          <w:trHeight w:val="300"/>
        </w:trPr>
        <w:tc>
          <w:tcPr>
            <w:tcW w:w="2775" w:type="dxa"/>
            <w:hideMark/>
          </w:tcPr>
          <w:p w14:paraId="0096D653"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4 Lab Services</w:t>
            </w:r>
          </w:p>
        </w:tc>
        <w:tc>
          <w:tcPr>
            <w:tcW w:w="1725" w:type="dxa"/>
            <w:noWrap/>
            <w:hideMark/>
          </w:tcPr>
          <w:p w14:paraId="35A8D2F1"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   </w:t>
            </w:r>
          </w:p>
        </w:tc>
        <w:tc>
          <w:tcPr>
            <w:tcW w:w="1795" w:type="dxa"/>
            <w:noWrap/>
            <w:hideMark/>
          </w:tcPr>
          <w:p w14:paraId="28B14883"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xml:space="preserve"> $               </w:t>
            </w:r>
            <w:r w:rsidRPr="000045CC">
              <w:rPr>
                <w:rFonts w:eastAsia="Arial" w:cstheme="minorHAnsi"/>
                <w:color w:val="0070C0"/>
                <w:spacing w:val="-2"/>
                <w:sz w:val="21"/>
                <w:szCs w:val="21"/>
              </w:rPr>
              <w:t>61,372.00</w:t>
            </w:r>
            <w:r w:rsidRPr="007230DE">
              <w:rPr>
                <w:rFonts w:eastAsia="Arial" w:cstheme="minorHAnsi"/>
                <w:b/>
                <w:bCs/>
                <w:spacing w:val="-2"/>
                <w:sz w:val="21"/>
                <w:szCs w:val="21"/>
              </w:rPr>
              <w:t xml:space="preserve"> </w:t>
            </w:r>
          </w:p>
        </w:tc>
        <w:tc>
          <w:tcPr>
            <w:tcW w:w="1415" w:type="dxa"/>
            <w:noWrap/>
            <w:hideMark/>
          </w:tcPr>
          <w:p w14:paraId="34378A2E"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61,372.00 </w:t>
            </w:r>
          </w:p>
        </w:tc>
        <w:tc>
          <w:tcPr>
            <w:tcW w:w="911" w:type="dxa"/>
            <w:noWrap/>
            <w:hideMark/>
          </w:tcPr>
          <w:p w14:paraId="51BCD037"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c>
          <w:tcPr>
            <w:tcW w:w="1336" w:type="dxa"/>
            <w:noWrap/>
            <w:hideMark/>
          </w:tcPr>
          <w:p w14:paraId="538CAF16"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New Line Item </w:t>
            </w:r>
          </w:p>
        </w:tc>
      </w:tr>
      <w:tr w:rsidR="006F7B75" w:rsidRPr="005B6392" w14:paraId="284E91E3" w14:textId="77777777" w:rsidTr="007230DE">
        <w:trPr>
          <w:trHeight w:val="617"/>
        </w:trPr>
        <w:tc>
          <w:tcPr>
            <w:tcW w:w="2775" w:type="dxa"/>
            <w:hideMark/>
          </w:tcPr>
          <w:p w14:paraId="5F867A26"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Total Operating Expenses: Subcontractors</w:t>
            </w:r>
          </w:p>
        </w:tc>
        <w:tc>
          <w:tcPr>
            <w:tcW w:w="1725" w:type="dxa"/>
            <w:noWrap/>
            <w:hideMark/>
          </w:tcPr>
          <w:p w14:paraId="4508F65F"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xml:space="preserve"> $      700,000.00 </w:t>
            </w:r>
          </w:p>
        </w:tc>
        <w:tc>
          <w:tcPr>
            <w:tcW w:w="1795" w:type="dxa"/>
            <w:noWrap/>
            <w:hideMark/>
          </w:tcPr>
          <w:p w14:paraId="03E069F1" w14:textId="1DCF0065"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xml:space="preserve"> $             </w:t>
            </w:r>
            <w:r w:rsidR="000045CC">
              <w:rPr>
                <w:rFonts w:eastAsia="Arial" w:cstheme="minorHAnsi"/>
                <w:b/>
                <w:bCs/>
                <w:strike/>
                <w:color w:val="FF0000"/>
                <w:spacing w:val="-2"/>
                <w:sz w:val="21"/>
                <w:szCs w:val="21"/>
              </w:rPr>
              <w:t>700,000</w:t>
            </w:r>
            <w:r w:rsidRPr="000045CC">
              <w:rPr>
                <w:rFonts w:eastAsia="Arial" w:cstheme="minorHAnsi"/>
                <w:b/>
                <w:bCs/>
                <w:color w:val="0070C0"/>
                <w:spacing w:val="-2"/>
                <w:sz w:val="21"/>
                <w:szCs w:val="21"/>
              </w:rPr>
              <w:t>708,590.00</w:t>
            </w:r>
            <w:r w:rsidRPr="007230DE">
              <w:rPr>
                <w:rFonts w:eastAsia="Arial" w:cstheme="minorHAnsi"/>
                <w:b/>
                <w:bCs/>
                <w:spacing w:val="-2"/>
                <w:sz w:val="21"/>
                <w:szCs w:val="21"/>
              </w:rPr>
              <w:t xml:space="preserve"> </w:t>
            </w:r>
          </w:p>
        </w:tc>
        <w:tc>
          <w:tcPr>
            <w:tcW w:w="1415" w:type="dxa"/>
            <w:noWrap/>
            <w:hideMark/>
          </w:tcPr>
          <w:p w14:paraId="534CE458"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8,590.00 </w:t>
            </w:r>
          </w:p>
        </w:tc>
        <w:tc>
          <w:tcPr>
            <w:tcW w:w="911" w:type="dxa"/>
            <w:noWrap/>
            <w:hideMark/>
          </w:tcPr>
          <w:p w14:paraId="47E0DABC"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1%</w:t>
            </w:r>
          </w:p>
        </w:tc>
        <w:tc>
          <w:tcPr>
            <w:tcW w:w="1336" w:type="dxa"/>
            <w:noWrap/>
            <w:hideMark/>
          </w:tcPr>
          <w:p w14:paraId="1834452D"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068ECB43" w14:textId="77777777" w:rsidTr="007230DE">
        <w:trPr>
          <w:trHeight w:val="300"/>
        </w:trPr>
        <w:tc>
          <w:tcPr>
            <w:tcW w:w="2775" w:type="dxa"/>
            <w:hideMark/>
          </w:tcPr>
          <w:p w14:paraId="693F7054"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D. Operating Expenses: Equipment</w:t>
            </w:r>
          </w:p>
        </w:tc>
        <w:tc>
          <w:tcPr>
            <w:tcW w:w="1725" w:type="dxa"/>
            <w:hideMark/>
          </w:tcPr>
          <w:p w14:paraId="41C52F91" w14:textId="77777777" w:rsidR="00CF589C" w:rsidRPr="007230DE" w:rsidRDefault="00CF589C" w:rsidP="007230DE">
            <w:pPr>
              <w:jc w:val="both"/>
              <w:rPr>
                <w:rFonts w:eastAsia="Arial" w:cstheme="minorHAnsi"/>
                <w:i/>
                <w:iCs/>
                <w:spacing w:val="-2"/>
                <w:sz w:val="21"/>
                <w:szCs w:val="21"/>
              </w:rPr>
            </w:pPr>
            <w:r w:rsidRPr="007230DE">
              <w:rPr>
                <w:rFonts w:eastAsia="Arial" w:cstheme="minorHAnsi"/>
                <w:i/>
                <w:iCs/>
                <w:spacing w:val="-2"/>
                <w:sz w:val="21"/>
                <w:szCs w:val="21"/>
              </w:rPr>
              <w:t> </w:t>
            </w:r>
          </w:p>
        </w:tc>
        <w:tc>
          <w:tcPr>
            <w:tcW w:w="1795" w:type="dxa"/>
            <w:noWrap/>
            <w:hideMark/>
          </w:tcPr>
          <w:p w14:paraId="44BE9A7A"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w:t>
            </w:r>
          </w:p>
        </w:tc>
        <w:tc>
          <w:tcPr>
            <w:tcW w:w="1415" w:type="dxa"/>
            <w:noWrap/>
            <w:hideMark/>
          </w:tcPr>
          <w:p w14:paraId="5F391B20"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c>
          <w:tcPr>
            <w:tcW w:w="911" w:type="dxa"/>
            <w:noWrap/>
            <w:hideMark/>
          </w:tcPr>
          <w:p w14:paraId="2CD28E8A"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c>
          <w:tcPr>
            <w:tcW w:w="1336" w:type="dxa"/>
            <w:noWrap/>
            <w:hideMark/>
          </w:tcPr>
          <w:p w14:paraId="24B31DE6"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1E2ED03A" w14:textId="77777777" w:rsidTr="007230DE">
        <w:trPr>
          <w:trHeight w:val="300"/>
        </w:trPr>
        <w:tc>
          <w:tcPr>
            <w:tcW w:w="2775" w:type="dxa"/>
            <w:hideMark/>
          </w:tcPr>
          <w:p w14:paraId="2F18807D"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1 Pressure Transducers</w:t>
            </w:r>
          </w:p>
        </w:tc>
        <w:tc>
          <w:tcPr>
            <w:tcW w:w="1725" w:type="dxa"/>
            <w:noWrap/>
            <w:hideMark/>
          </w:tcPr>
          <w:p w14:paraId="5A060942"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80,000.00 </w:t>
            </w:r>
          </w:p>
        </w:tc>
        <w:tc>
          <w:tcPr>
            <w:tcW w:w="1795" w:type="dxa"/>
            <w:noWrap/>
            <w:hideMark/>
          </w:tcPr>
          <w:p w14:paraId="349E1E9D" w14:textId="396F3B09"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w:t>
            </w:r>
            <w:r w:rsidR="000045CC">
              <w:rPr>
                <w:rFonts w:eastAsia="Arial" w:cstheme="minorHAnsi"/>
                <w:strike/>
                <w:color w:val="FF0000"/>
                <w:spacing w:val="-2"/>
                <w:sz w:val="21"/>
                <w:szCs w:val="21"/>
              </w:rPr>
              <w:t>80</w:t>
            </w:r>
            <w:r w:rsidRPr="000045CC">
              <w:rPr>
                <w:rFonts w:eastAsia="Arial" w:cstheme="minorHAnsi"/>
                <w:color w:val="0070C0"/>
                <w:spacing w:val="-2"/>
                <w:sz w:val="21"/>
                <w:szCs w:val="21"/>
              </w:rPr>
              <w:t>75</w:t>
            </w:r>
            <w:r w:rsidRPr="007230DE">
              <w:rPr>
                <w:rFonts w:eastAsia="Arial" w:cstheme="minorHAnsi"/>
                <w:spacing w:val="-2"/>
                <w:sz w:val="21"/>
                <w:szCs w:val="21"/>
              </w:rPr>
              <w:t xml:space="preserve">,000.00 </w:t>
            </w:r>
          </w:p>
        </w:tc>
        <w:tc>
          <w:tcPr>
            <w:tcW w:w="1415" w:type="dxa"/>
            <w:noWrap/>
            <w:hideMark/>
          </w:tcPr>
          <w:p w14:paraId="31094D9E"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w:t>
            </w:r>
            <w:proofErr w:type="gramStart"/>
            <w:r w:rsidRPr="007230DE">
              <w:rPr>
                <w:rFonts w:eastAsia="Arial" w:cstheme="minorHAnsi"/>
                <w:spacing w:val="-2"/>
                <w:sz w:val="21"/>
                <w:szCs w:val="21"/>
              </w:rPr>
              <w:t xml:space="preserve">   (</w:t>
            </w:r>
            <w:proofErr w:type="gramEnd"/>
            <w:r w:rsidRPr="007230DE">
              <w:rPr>
                <w:rFonts w:eastAsia="Arial" w:cstheme="minorHAnsi"/>
                <w:spacing w:val="-2"/>
                <w:sz w:val="21"/>
                <w:szCs w:val="21"/>
              </w:rPr>
              <w:t>5,000.00)</w:t>
            </w:r>
          </w:p>
        </w:tc>
        <w:tc>
          <w:tcPr>
            <w:tcW w:w="911" w:type="dxa"/>
            <w:noWrap/>
            <w:hideMark/>
          </w:tcPr>
          <w:p w14:paraId="4CF38568"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-6%</w:t>
            </w:r>
          </w:p>
        </w:tc>
        <w:tc>
          <w:tcPr>
            <w:tcW w:w="1336" w:type="dxa"/>
            <w:noWrap/>
            <w:hideMark/>
          </w:tcPr>
          <w:p w14:paraId="3551CCE9"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44C82736" w14:textId="77777777" w:rsidTr="007230DE">
        <w:trPr>
          <w:trHeight w:val="300"/>
        </w:trPr>
        <w:tc>
          <w:tcPr>
            <w:tcW w:w="2775" w:type="dxa"/>
            <w:hideMark/>
          </w:tcPr>
          <w:p w14:paraId="04F702C9"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2 Diversion Improvements</w:t>
            </w:r>
          </w:p>
        </w:tc>
        <w:tc>
          <w:tcPr>
            <w:tcW w:w="1725" w:type="dxa"/>
            <w:noWrap/>
            <w:hideMark/>
          </w:tcPr>
          <w:p w14:paraId="133297F6"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60,000.00 </w:t>
            </w:r>
          </w:p>
        </w:tc>
        <w:tc>
          <w:tcPr>
            <w:tcW w:w="1795" w:type="dxa"/>
            <w:noWrap/>
            <w:hideMark/>
          </w:tcPr>
          <w:p w14:paraId="16FC8206"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60,000.00 </w:t>
            </w:r>
          </w:p>
        </w:tc>
        <w:tc>
          <w:tcPr>
            <w:tcW w:w="1415" w:type="dxa"/>
            <w:noWrap/>
            <w:hideMark/>
          </w:tcPr>
          <w:p w14:paraId="7014E8DC"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   </w:t>
            </w:r>
          </w:p>
        </w:tc>
        <w:tc>
          <w:tcPr>
            <w:tcW w:w="911" w:type="dxa"/>
            <w:noWrap/>
            <w:hideMark/>
          </w:tcPr>
          <w:p w14:paraId="6D36211A"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0%</w:t>
            </w:r>
          </w:p>
        </w:tc>
        <w:tc>
          <w:tcPr>
            <w:tcW w:w="1336" w:type="dxa"/>
            <w:noWrap/>
            <w:hideMark/>
          </w:tcPr>
          <w:p w14:paraId="50A0D2E9"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0BE8745F" w14:textId="77777777" w:rsidTr="007230DE">
        <w:trPr>
          <w:trHeight w:val="300"/>
        </w:trPr>
        <w:tc>
          <w:tcPr>
            <w:tcW w:w="2775" w:type="dxa"/>
            <w:hideMark/>
          </w:tcPr>
          <w:p w14:paraId="4D95120A"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3 Diversion Point Enhancement</w:t>
            </w:r>
          </w:p>
        </w:tc>
        <w:tc>
          <w:tcPr>
            <w:tcW w:w="1725" w:type="dxa"/>
            <w:noWrap/>
            <w:hideMark/>
          </w:tcPr>
          <w:p w14:paraId="6AE1F826"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67,552.00 </w:t>
            </w:r>
          </w:p>
        </w:tc>
        <w:tc>
          <w:tcPr>
            <w:tcW w:w="1795" w:type="dxa"/>
            <w:noWrap/>
            <w:hideMark/>
          </w:tcPr>
          <w:p w14:paraId="79F9C6EF" w14:textId="71C81441"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w:t>
            </w:r>
            <w:r w:rsidRPr="001876FF">
              <w:rPr>
                <w:rFonts w:eastAsia="Arial" w:cstheme="minorHAnsi"/>
                <w:color w:val="0070C0"/>
                <w:spacing w:val="-2"/>
                <w:sz w:val="21"/>
                <w:szCs w:val="21"/>
              </w:rPr>
              <w:t xml:space="preserve"> </w:t>
            </w:r>
            <w:r w:rsidR="001876FF">
              <w:rPr>
                <w:rFonts w:eastAsia="Arial" w:cstheme="minorHAnsi"/>
                <w:strike/>
                <w:color w:val="FF0000"/>
                <w:spacing w:val="-2"/>
                <w:sz w:val="21"/>
                <w:szCs w:val="21"/>
              </w:rPr>
              <w:t>67,552</w:t>
            </w:r>
            <w:r w:rsidRPr="001876FF">
              <w:rPr>
                <w:rFonts w:eastAsia="Arial" w:cstheme="minorHAnsi"/>
                <w:color w:val="0070C0"/>
                <w:spacing w:val="-2"/>
                <w:sz w:val="21"/>
                <w:szCs w:val="21"/>
              </w:rPr>
              <w:t>62,076</w:t>
            </w:r>
            <w:r w:rsidRPr="007230DE">
              <w:rPr>
                <w:rFonts w:eastAsia="Arial" w:cstheme="minorHAnsi"/>
                <w:spacing w:val="-2"/>
                <w:sz w:val="21"/>
                <w:szCs w:val="21"/>
              </w:rPr>
              <w:t xml:space="preserve">.00 </w:t>
            </w:r>
          </w:p>
        </w:tc>
        <w:tc>
          <w:tcPr>
            <w:tcW w:w="1415" w:type="dxa"/>
            <w:noWrap/>
            <w:hideMark/>
          </w:tcPr>
          <w:p w14:paraId="7E51A5D9"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w:t>
            </w:r>
            <w:proofErr w:type="gramStart"/>
            <w:r w:rsidRPr="007230DE">
              <w:rPr>
                <w:rFonts w:eastAsia="Arial" w:cstheme="minorHAnsi"/>
                <w:spacing w:val="-2"/>
                <w:sz w:val="21"/>
                <w:szCs w:val="21"/>
              </w:rPr>
              <w:t xml:space="preserve">   (</w:t>
            </w:r>
            <w:proofErr w:type="gramEnd"/>
            <w:r w:rsidRPr="007230DE">
              <w:rPr>
                <w:rFonts w:eastAsia="Arial" w:cstheme="minorHAnsi"/>
                <w:spacing w:val="-2"/>
                <w:sz w:val="21"/>
                <w:szCs w:val="21"/>
              </w:rPr>
              <w:t>5,476.00)</w:t>
            </w:r>
          </w:p>
        </w:tc>
        <w:tc>
          <w:tcPr>
            <w:tcW w:w="911" w:type="dxa"/>
            <w:noWrap/>
            <w:hideMark/>
          </w:tcPr>
          <w:p w14:paraId="1D546CBF"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-8%</w:t>
            </w:r>
          </w:p>
        </w:tc>
        <w:tc>
          <w:tcPr>
            <w:tcW w:w="1336" w:type="dxa"/>
            <w:noWrap/>
            <w:hideMark/>
          </w:tcPr>
          <w:p w14:paraId="4ADC990D"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7DC67A1E" w14:textId="77777777" w:rsidTr="007230DE">
        <w:trPr>
          <w:trHeight w:val="435"/>
        </w:trPr>
        <w:tc>
          <w:tcPr>
            <w:tcW w:w="2775" w:type="dxa"/>
            <w:hideMark/>
          </w:tcPr>
          <w:p w14:paraId="6FC52285"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Operating Expenses: Equipment</w:t>
            </w:r>
          </w:p>
        </w:tc>
        <w:tc>
          <w:tcPr>
            <w:tcW w:w="1725" w:type="dxa"/>
            <w:noWrap/>
            <w:hideMark/>
          </w:tcPr>
          <w:p w14:paraId="78CA497D"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xml:space="preserve"> $      207,552.00 </w:t>
            </w:r>
          </w:p>
        </w:tc>
        <w:tc>
          <w:tcPr>
            <w:tcW w:w="1795" w:type="dxa"/>
            <w:noWrap/>
            <w:hideMark/>
          </w:tcPr>
          <w:p w14:paraId="03724650" w14:textId="21786DEA"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xml:space="preserve"> $             </w:t>
            </w:r>
            <w:r w:rsidR="001876FF">
              <w:rPr>
                <w:rFonts w:eastAsia="Arial" w:cstheme="minorHAnsi"/>
                <w:b/>
                <w:bCs/>
                <w:strike/>
                <w:color w:val="FF0000"/>
                <w:spacing w:val="-2"/>
                <w:sz w:val="21"/>
                <w:szCs w:val="21"/>
              </w:rPr>
              <w:t>207,552</w:t>
            </w:r>
            <w:r w:rsidRPr="001876FF">
              <w:rPr>
                <w:rFonts w:eastAsia="Arial" w:cstheme="minorHAnsi"/>
                <w:b/>
                <w:bCs/>
                <w:color w:val="0070C0"/>
                <w:spacing w:val="-2"/>
                <w:sz w:val="21"/>
                <w:szCs w:val="21"/>
              </w:rPr>
              <w:t>197,076</w:t>
            </w:r>
            <w:r w:rsidRPr="007230DE">
              <w:rPr>
                <w:rFonts w:eastAsia="Arial" w:cstheme="minorHAnsi"/>
                <w:b/>
                <w:bCs/>
                <w:spacing w:val="-2"/>
                <w:sz w:val="21"/>
                <w:szCs w:val="21"/>
              </w:rPr>
              <w:t xml:space="preserve">.00 </w:t>
            </w:r>
          </w:p>
        </w:tc>
        <w:tc>
          <w:tcPr>
            <w:tcW w:w="1415" w:type="dxa"/>
            <w:noWrap/>
            <w:hideMark/>
          </w:tcPr>
          <w:p w14:paraId="52000EF4"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w:t>
            </w:r>
            <w:proofErr w:type="gramStart"/>
            <w:r w:rsidRPr="007230DE">
              <w:rPr>
                <w:rFonts w:eastAsia="Arial" w:cstheme="minorHAnsi"/>
                <w:spacing w:val="-2"/>
                <w:sz w:val="21"/>
                <w:szCs w:val="21"/>
              </w:rPr>
              <w:t xml:space="preserve">   (</w:t>
            </w:r>
            <w:proofErr w:type="gramEnd"/>
            <w:r w:rsidRPr="007230DE">
              <w:rPr>
                <w:rFonts w:eastAsia="Arial" w:cstheme="minorHAnsi"/>
                <w:spacing w:val="-2"/>
                <w:sz w:val="21"/>
                <w:szCs w:val="21"/>
              </w:rPr>
              <w:t>10,476.00)</w:t>
            </w:r>
          </w:p>
        </w:tc>
        <w:tc>
          <w:tcPr>
            <w:tcW w:w="911" w:type="dxa"/>
            <w:noWrap/>
            <w:hideMark/>
          </w:tcPr>
          <w:p w14:paraId="674A80B4"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-5%</w:t>
            </w:r>
          </w:p>
        </w:tc>
        <w:tc>
          <w:tcPr>
            <w:tcW w:w="1336" w:type="dxa"/>
            <w:noWrap/>
            <w:hideMark/>
          </w:tcPr>
          <w:p w14:paraId="30385FF8"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r w:rsidR="006F7B75" w:rsidRPr="005B6392" w14:paraId="524AC111" w14:textId="77777777" w:rsidTr="007230DE">
        <w:trPr>
          <w:trHeight w:val="435"/>
        </w:trPr>
        <w:tc>
          <w:tcPr>
            <w:tcW w:w="2775" w:type="dxa"/>
            <w:hideMark/>
          </w:tcPr>
          <w:p w14:paraId="4247C69C"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TOTAL</w:t>
            </w:r>
          </w:p>
        </w:tc>
        <w:tc>
          <w:tcPr>
            <w:tcW w:w="1725" w:type="dxa"/>
            <w:noWrap/>
            <w:hideMark/>
          </w:tcPr>
          <w:p w14:paraId="569B364C"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xml:space="preserve"> </w:t>
            </w:r>
            <w:proofErr w:type="gramStart"/>
            <w:r w:rsidRPr="007230DE">
              <w:rPr>
                <w:rFonts w:eastAsia="Arial" w:cstheme="minorHAnsi"/>
                <w:b/>
                <w:bCs/>
                <w:spacing w:val="-2"/>
                <w:sz w:val="21"/>
                <w:szCs w:val="21"/>
              </w:rPr>
              <w:t>$  1,000,000.00</w:t>
            </w:r>
            <w:proofErr w:type="gramEnd"/>
            <w:r w:rsidRPr="007230DE">
              <w:rPr>
                <w:rFonts w:eastAsia="Arial" w:cstheme="minorHAnsi"/>
                <w:b/>
                <w:bCs/>
                <w:spacing w:val="-2"/>
                <w:sz w:val="21"/>
                <w:szCs w:val="21"/>
              </w:rPr>
              <w:t xml:space="preserve"> </w:t>
            </w:r>
          </w:p>
        </w:tc>
        <w:tc>
          <w:tcPr>
            <w:tcW w:w="1795" w:type="dxa"/>
            <w:noWrap/>
            <w:hideMark/>
          </w:tcPr>
          <w:p w14:paraId="1B7EE378" w14:textId="77777777" w:rsidR="00CF589C" w:rsidRPr="007230DE" w:rsidRDefault="00CF589C" w:rsidP="007230DE">
            <w:pPr>
              <w:jc w:val="both"/>
              <w:rPr>
                <w:rFonts w:eastAsia="Arial" w:cstheme="minorHAnsi"/>
                <w:b/>
                <w:bCs/>
                <w:spacing w:val="-2"/>
                <w:sz w:val="21"/>
                <w:szCs w:val="21"/>
              </w:rPr>
            </w:pPr>
            <w:r w:rsidRPr="007230DE">
              <w:rPr>
                <w:rFonts w:eastAsia="Arial" w:cstheme="minorHAnsi"/>
                <w:b/>
                <w:bCs/>
                <w:spacing w:val="-2"/>
                <w:sz w:val="21"/>
                <w:szCs w:val="21"/>
              </w:rPr>
              <w:t xml:space="preserve"> $         1,000,000.00 </w:t>
            </w:r>
          </w:p>
        </w:tc>
        <w:tc>
          <w:tcPr>
            <w:tcW w:w="1415" w:type="dxa"/>
            <w:noWrap/>
            <w:hideMark/>
          </w:tcPr>
          <w:p w14:paraId="6DE92E9C"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xml:space="preserve"> $                    -   </w:t>
            </w:r>
          </w:p>
        </w:tc>
        <w:tc>
          <w:tcPr>
            <w:tcW w:w="911" w:type="dxa"/>
            <w:noWrap/>
            <w:hideMark/>
          </w:tcPr>
          <w:p w14:paraId="25AE0378"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0%</w:t>
            </w:r>
          </w:p>
        </w:tc>
        <w:tc>
          <w:tcPr>
            <w:tcW w:w="1336" w:type="dxa"/>
            <w:noWrap/>
            <w:hideMark/>
          </w:tcPr>
          <w:p w14:paraId="1FC7E28B" w14:textId="77777777" w:rsidR="00CF589C" w:rsidRPr="007230DE" w:rsidRDefault="00CF589C" w:rsidP="007230DE">
            <w:pPr>
              <w:jc w:val="both"/>
              <w:rPr>
                <w:rFonts w:eastAsia="Arial" w:cstheme="minorHAnsi"/>
                <w:spacing w:val="-2"/>
                <w:sz w:val="21"/>
                <w:szCs w:val="21"/>
              </w:rPr>
            </w:pPr>
            <w:r w:rsidRPr="007230DE">
              <w:rPr>
                <w:rFonts w:eastAsia="Arial" w:cstheme="minorHAnsi"/>
                <w:spacing w:val="-2"/>
                <w:sz w:val="21"/>
                <w:szCs w:val="21"/>
              </w:rPr>
              <w:t> </w:t>
            </w:r>
          </w:p>
        </w:tc>
      </w:tr>
    </w:tbl>
    <w:p w14:paraId="773B3B70" w14:textId="18DD8976" w:rsidR="008C1065" w:rsidRDefault="00CF589C">
      <w:pPr>
        <w:jc w:val="both"/>
        <w:rPr>
          <w:rFonts w:ascii="Arial" w:eastAsia="Arial" w:hAnsi="Arial" w:cs="Arial"/>
          <w:spacing w:val="-2"/>
          <w:sz w:val="24"/>
        </w:rPr>
      </w:pPr>
      <w:r>
        <w:rPr>
          <w:rFonts w:ascii="Arial" w:eastAsia="Arial" w:hAnsi="Arial" w:cs="Arial"/>
          <w:spacing w:val="-2"/>
          <w:sz w:val="24"/>
        </w:rPr>
        <w:fldChar w:fldCharType="end"/>
      </w:r>
    </w:p>
    <w:p w14:paraId="13D1C540" w14:textId="30312015" w:rsidR="00EF5767" w:rsidRPr="008C1065" w:rsidRDefault="00EF5767" w:rsidP="007230DE">
      <w:pPr>
        <w:jc w:val="both"/>
      </w:pPr>
    </w:p>
    <w:sectPr w:rsidR="00EF5767" w:rsidRPr="008C1065" w:rsidSect="00EF5F8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073B" w14:textId="77777777" w:rsidR="00AF3634" w:rsidRDefault="00AF3634" w:rsidP="000531B9">
      <w:pPr>
        <w:spacing w:after="0" w:line="240" w:lineRule="auto"/>
      </w:pPr>
      <w:r>
        <w:separator/>
      </w:r>
    </w:p>
  </w:endnote>
  <w:endnote w:type="continuationSeparator" w:id="0">
    <w:p w14:paraId="629B82AC" w14:textId="77777777" w:rsidR="00AF3634" w:rsidRDefault="00AF3634" w:rsidP="000531B9">
      <w:pPr>
        <w:spacing w:after="0" w:line="240" w:lineRule="auto"/>
      </w:pPr>
      <w:r>
        <w:continuationSeparator/>
      </w:r>
    </w:p>
  </w:endnote>
  <w:endnote w:type="continuationNotice" w:id="1">
    <w:p w14:paraId="71E53AEB" w14:textId="77777777" w:rsidR="00AF3634" w:rsidRDefault="00AF3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8FCB6" w14:textId="77777777" w:rsidR="00AF3634" w:rsidRDefault="00AF3634" w:rsidP="000531B9">
      <w:pPr>
        <w:spacing w:after="0" w:line="240" w:lineRule="auto"/>
      </w:pPr>
      <w:r>
        <w:separator/>
      </w:r>
    </w:p>
  </w:footnote>
  <w:footnote w:type="continuationSeparator" w:id="0">
    <w:p w14:paraId="4B50F66B" w14:textId="77777777" w:rsidR="00AF3634" w:rsidRDefault="00AF3634" w:rsidP="000531B9">
      <w:pPr>
        <w:spacing w:after="0" w:line="240" w:lineRule="auto"/>
      </w:pPr>
      <w:r>
        <w:continuationSeparator/>
      </w:r>
    </w:p>
  </w:footnote>
  <w:footnote w:type="continuationNotice" w:id="1">
    <w:p w14:paraId="31BA4845" w14:textId="77777777" w:rsidR="00AF3634" w:rsidRDefault="00AF36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9F81" w14:textId="12BF159D" w:rsidR="00CB30A7" w:rsidRDefault="00CB3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AB1"/>
    <w:multiLevelType w:val="hybridMultilevel"/>
    <w:tmpl w:val="B01809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8357A2"/>
    <w:multiLevelType w:val="hybridMultilevel"/>
    <w:tmpl w:val="A072C5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57259"/>
    <w:multiLevelType w:val="hybridMultilevel"/>
    <w:tmpl w:val="4074F384"/>
    <w:lvl w:ilvl="0" w:tplc="D952E11C">
      <w:start w:val="1"/>
      <w:numFmt w:val="decimal"/>
      <w:lvlText w:val="%1."/>
      <w:lvlJc w:val="left"/>
      <w:pPr>
        <w:ind w:left="1020" w:hanging="360"/>
      </w:pPr>
    </w:lvl>
    <w:lvl w:ilvl="1" w:tplc="7D1C1BF0">
      <w:start w:val="1"/>
      <w:numFmt w:val="decimal"/>
      <w:lvlText w:val="%2."/>
      <w:lvlJc w:val="left"/>
      <w:pPr>
        <w:ind w:left="1020" w:hanging="360"/>
      </w:pPr>
    </w:lvl>
    <w:lvl w:ilvl="2" w:tplc="27E02F78">
      <w:start w:val="1"/>
      <w:numFmt w:val="decimal"/>
      <w:lvlText w:val="%3."/>
      <w:lvlJc w:val="left"/>
      <w:pPr>
        <w:ind w:left="1020" w:hanging="360"/>
      </w:pPr>
    </w:lvl>
    <w:lvl w:ilvl="3" w:tplc="9450553E">
      <w:start w:val="1"/>
      <w:numFmt w:val="decimal"/>
      <w:lvlText w:val="%4."/>
      <w:lvlJc w:val="left"/>
      <w:pPr>
        <w:ind w:left="1020" w:hanging="360"/>
      </w:pPr>
    </w:lvl>
    <w:lvl w:ilvl="4" w:tplc="9B685E30">
      <w:start w:val="1"/>
      <w:numFmt w:val="decimal"/>
      <w:lvlText w:val="%5."/>
      <w:lvlJc w:val="left"/>
      <w:pPr>
        <w:ind w:left="1020" w:hanging="360"/>
      </w:pPr>
    </w:lvl>
    <w:lvl w:ilvl="5" w:tplc="EE60940E">
      <w:start w:val="1"/>
      <w:numFmt w:val="decimal"/>
      <w:lvlText w:val="%6."/>
      <w:lvlJc w:val="left"/>
      <w:pPr>
        <w:ind w:left="1020" w:hanging="360"/>
      </w:pPr>
    </w:lvl>
    <w:lvl w:ilvl="6" w:tplc="758C1568">
      <w:start w:val="1"/>
      <w:numFmt w:val="decimal"/>
      <w:lvlText w:val="%7."/>
      <w:lvlJc w:val="left"/>
      <w:pPr>
        <w:ind w:left="1020" w:hanging="360"/>
      </w:pPr>
    </w:lvl>
    <w:lvl w:ilvl="7" w:tplc="74264F6A">
      <w:start w:val="1"/>
      <w:numFmt w:val="decimal"/>
      <w:lvlText w:val="%8."/>
      <w:lvlJc w:val="left"/>
      <w:pPr>
        <w:ind w:left="1020" w:hanging="360"/>
      </w:pPr>
    </w:lvl>
    <w:lvl w:ilvl="8" w:tplc="FEE41AAA">
      <w:start w:val="1"/>
      <w:numFmt w:val="decimal"/>
      <w:lvlText w:val="%9."/>
      <w:lvlJc w:val="left"/>
      <w:pPr>
        <w:ind w:left="1020" w:hanging="360"/>
      </w:pPr>
    </w:lvl>
  </w:abstractNum>
  <w:abstractNum w:abstractNumId="3" w15:restartNumberingAfterBreak="0">
    <w:nsid w:val="3BF14619"/>
    <w:multiLevelType w:val="hybridMultilevel"/>
    <w:tmpl w:val="F7983A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19043F"/>
    <w:multiLevelType w:val="hybridMultilevel"/>
    <w:tmpl w:val="4A0E6A24"/>
    <w:lvl w:ilvl="0" w:tplc="572E1020">
      <w:start w:val="1"/>
      <w:numFmt w:val="decimal"/>
      <w:lvlText w:val="%1."/>
      <w:lvlJc w:val="left"/>
      <w:pPr>
        <w:ind w:left="1020" w:hanging="360"/>
      </w:pPr>
    </w:lvl>
    <w:lvl w:ilvl="1" w:tplc="E81E8194">
      <w:start w:val="1"/>
      <w:numFmt w:val="decimal"/>
      <w:lvlText w:val="%2."/>
      <w:lvlJc w:val="left"/>
      <w:pPr>
        <w:ind w:left="1020" w:hanging="360"/>
      </w:pPr>
    </w:lvl>
    <w:lvl w:ilvl="2" w:tplc="9B384E4E">
      <w:start w:val="1"/>
      <w:numFmt w:val="decimal"/>
      <w:lvlText w:val="%3."/>
      <w:lvlJc w:val="left"/>
      <w:pPr>
        <w:ind w:left="1020" w:hanging="360"/>
      </w:pPr>
    </w:lvl>
    <w:lvl w:ilvl="3" w:tplc="991C7474">
      <w:start w:val="1"/>
      <w:numFmt w:val="decimal"/>
      <w:lvlText w:val="%4."/>
      <w:lvlJc w:val="left"/>
      <w:pPr>
        <w:ind w:left="1020" w:hanging="360"/>
      </w:pPr>
    </w:lvl>
    <w:lvl w:ilvl="4" w:tplc="033C6464">
      <w:start w:val="1"/>
      <w:numFmt w:val="decimal"/>
      <w:lvlText w:val="%5."/>
      <w:lvlJc w:val="left"/>
      <w:pPr>
        <w:ind w:left="1020" w:hanging="360"/>
      </w:pPr>
    </w:lvl>
    <w:lvl w:ilvl="5" w:tplc="A6A46B56">
      <w:start w:val="1"/>
      <w:numFmt w:val="decimal"/>
      <w:lvlText w:val="%6."/>
      <w:lvlJc w:val="left"/>
      <w:pPr>
        <w:ind w:left="1020" w:hanging="360"/>
      </w:pPr>
    </w:lvl>
    <w:lvl w:ilvl="6" w:tplc="31AAA746">
      <w:start w:val="1"/>
      <w:numFmt w:val="decimal"/>
      <w:lvlText w:val="%7."/>
      <w:lvlJc w:val="left"/>
      <w:pPr>
        <w:ind w:left="1020" w:hanging="360"/>
      </w:pPr>
    </w:lvl>
    <w:lvl w:ilvl="7" w:tplc="90DCBB8E">
      <w:start w:val="1"/>
      <w:numFmt w:val="decimal"/>
      <w:lvlText w:val="%8."/>
      <w:lvlJc w:val="left"/>
      <w:pPr>
        <w:ind w:left="1020" w:hanging="360"/>
      </w:pPr>
    </w:lvl>
    <w:lvl w:ilvl="8" w:tplc="A59832DE">
      <w:start w:val="1"/>
      <w:numFmt w:val="decimal"/>
      <w:lvlText w:val="%9."/>
      <w:lvlJc w:val="left"/>
      <w:pPr>
        <w:ind w:left="1020" w:hanging="360"/>
      </w:pPr>
    </w:lvl>
  </w:abstractNum>
  <w:abstractNum w:abstractNumId="5" w15:restartNumberingAfterBreak="0">
    <w:nsid w:val="4B6A6A86"/>
    <w:multiLevelType w:val="hybridMultilevel"/>
    <w:tmpl w:val="D24E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452F58"/>
    <w:multiLevelType w:val="hybridMultilevel"/>
    <w:tmpl w:val="F55430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DB325E"/>
    <w:multiLevelType w:val="hybridMultilevel"/>
    <w:tmpl w:val="E27425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DA6881"/>
    <w:multiLevelType w:val="hybridMultilevel"/>
    <w:tmpl w:val="B7AE0B02"/>
    <w:lvl w:ilvl="0" w:tplc="B51CA9F6">
      <w:start w:val="1"/>
      <w:numFmt w:val="decimal"/>
      <w:lvlText w:val="%1."/>
      <w:lvlJc w:val="left"/>
      <w:pPr>
        <w:ind w:left="1020" w:hanging="360"/>
      </w:pPr>
    </w:lvl>
    <w:lvl w:ilvl="1" w:tplc="F7C868A4">
      <w:start w:val="1"/>
      <w:numFmt w:val="decimal"/>
      <w:lvlText w:val="%2."/>
      <w:lvlJc w:val="left"/>
      <w:pPr>
        <w:ind w:left="1020" w:hanging="360"/>
      </w:pPr>
    </w:lvl>
    <w:lvl w:ilvl="2" w:tplc="E34A1B3C">
      <w:start w:val="1"/>
      <w:numFmt w:val="decimal"/>
      <w:lvlText w:val="%3."/>
      <w:lvlJc w:val="left"/>
      <w:pPr>
        <w:ind w:left="1020" w:hanging="360"/>
      </w:pPr>
    </w:lvl>
    <w:lvl w:ilvl="3" w:tplc="34FE72E2">
      <w:start w:val="1"/>
      <w:numFmt w:val="decimal"/>
      <w:lvlText w:val="%4."/>
      <w:lvlJc w:val="left"/>
      <w:pPr>
        <w:ind w:left="1020" w:hanging="360"/>
      </w:pPr>
    </w:lvl>
    <w:lvl w:ilvl="4" w:tplc="E994712E">
      <w:start w:val="1"/>
      <w:numFmt w:val="decimal"/>
      <w:lvlText w:val="%5."/>
      <w:lvlJc w:val="left"/>
      <w:pPr>
        <w:ind w:left="1020" w:hanging="360"/>
      </w:pPr>
    </w:lvl>
    <w:lvl w:ilvl="5" w:tplc="9604C21A">
      <w:start w:val="1"/>
      <w:numFmt w:val="decimal"/>
      <w:lvlText w:val="%6."/>
      <w:lvlJc w:val="left"/>
      <w:pPr>
        <w:ind w:left="1020" w:hanging="360"/>
      </w:pPr>
    </w:lvl>
    <w:lvl w:ilvl="6" w:tplc="EA0419A2">
      <w:start w:val="1"/>
      <w:numFmt w:val="decimal"/>
      <w:lvlText w:val="%7."/>
      <w:lvlJc w:val="left"/>
      <w:pPr>
        <w:ind w:left="1020" w:hanging="360"/>
      </w:pPr>
    </w:lvl>
    <w:lvl w:ilvl="7" w:tplc="A76ECDFA">
      <w:start w:val="1"/>
      <w:numFmt w:val="decimal"/>
      <w:lvlText w:val="%8."/>
      <w:lvlJc w:val="left"/>
      <w:pPr>
        <w:ind w:left="1020" w:hanging="360"/>
      </w:pPr>
    </w:lvl>
    <w:lvl w:ilvl="8" w:tplc="6430E3F2">
      <w:start w:val="1"/>
      <w:numFmt w:val="decimal"/>
      <w:lvlText w:val="%9."/>
      <w:lvlJc w:val="left"/>
      <w:pPr>
        <w:ind w:left="1020" w:hanging="360"/>
      </w:pPr>
    </w:lvl>
  </w:abstractNum>
  <w:abstractNum w:abstractNumId="9" w15:restartNumberingAfterBreak="0">
    <w:nsid w:val="5E4374EA"/>
    <w:multiLevelType w:val="hybridMultilevel"/>
    <w:tmpl w:val="00E6F8DE"/>
    <w:lvl w:ilvl="0" w:tplc="F5CC4DC2">
      <w:start w:val="1"/>
      <w:numFmt w:val="decimal"/>
      <w:lvlText w:val="%1."/>
      <w:lvlJc w:val="left"/>
      <w:pPr>
        <w:ind w:left="1020" w:hanging="360"/>
      </w:pPr>
    </w:lvl>
    <w:lvl w:ilvl="1" w:tplc="721AE81E">
      <w:start w:val="1"/>
      <w:numFmt w:val="decimal"/>
      <w:lvlText w:val="%2."/>
      <w:lvlJc w:val="left"/>
      <w:pPr>
        <w:ind w:left="1020" w:hanging="360"/>
      </w:pPr>
    </w:lvl>
    <w:lvl w:ilvl="2" w:tplc="825EC7D2">
      <w:start w:val="1"/>
      <w:numFmt w:val="decimal"/>
      <w:lvlText w:val="%3."/>
      <w:lvlJc w:val="left"/>
      <w:pPr>
        <w:ind w:left="1020" w:hanging="360"/>
      </w:pPr>
    </w:lvl>
    <w:lvl w:ilvl="3" w:tplc="4020678A">
      <w:start w:val="1"/>
      <w:numFmt w:val="decimal"/>
      <w:lvlText w:val="%4."/>
      <w:lvlJc w:val="left"/>
      <w:pPr>
        <w:ind w:left="1020" w:hanging="360"/>
      </w:pPr>
    </w:lvl>
    <w:lvl w:ilvl="4" w:tplc="9A14564E">
      <w:start w:val="1"/>
      <w:numFmt w:val="decimal"/>
      <w:lvlText w:val="%5."/>
      <w:lvlJc w:val="left"/>
      <w:pPr>
        <w:ind w:left="1020" w:hanging="360"/>
      </w:pPr>
    </w:lvl>
    <w:lvl w:ilvl="5" w:tplc="560ED75A">
      <w:start w:val="1"/>
      <w:numFmt w:val="decimal"/>
      <w:lvlText w:val="%6."/>
      <w:lvlJc w:val="left"/>
      <w:pPr>
        <w:ind w:left="1020" w:hanging="360"/>
      </w:pPr>
    </w:lvl>
    <w:lvl w:ilvl="6" w:tplc="1C4AC3AA">
      <w:start w:val="1"/>
      <w:numFmt w:val="decimal"/>
      <w:lvlText w:val="%7."/>
      <w:lvlJc w:val="left"/>
      <w:pPr>
        <w:ind w:left="1020" w:hanging="360"/>
      </w:pPr>
    </w:lvl>
    <w:lvl w:ilvl="7" w:tplc="F8A8026E">
      <w:start w:val="1"/>
      <w:numFmt w:val="decimal"/>
      <w:lvlText w:val="%8."/>
      <w:lvlJc w:val="left"/>
      <w:pPr>
        <w:ind w:left="1020" w:hanging="360"/>
      </w:pPr>
    </w:lvl>
    <w:lvl w:ilvl="8" w:tplc="ACFE3E50">
      <w:start w:val="1"/>
      <w:numFmt w:val="decimal"/>
      <w:lvlText w:val="%9."/>
      <w:lvlJc w:val="left"/>
      <w:pPr>
        <w:ind w:left="1020" w:hanging="360"/>
      </w:pPr>
    </w:lvl>
  </w:abstractNum>
  <w:abstractNum w:abstractNumId="10" w15:restartNumberingAfterBreak="0">
    <w:nsid w:val="5E4430BE"/>
    <w:multiLevelType w:val="multilevel"/>
    <w:tmpl w:val="4E58FDFC"/>
    <w:lvl w:ilvl="0">
      <w:start w:val="6"/>
      <w:numFmt w:val="decimal"/>
      <w:lvlText w:val="%1"/>
      <w:lvlJc w:val="left"/>
      <w:pPr>
        <w:ind w:left="1900" w:hanging="720"/>
      </w:pPr>
      <w:rPr>
        <w:rFonts w:hint="default"/>
        <w:lang w:val="en-US" w:eastAsia="en-US" w:bidi="ar-SA"/>
      </w:rPr>
    </w:lvl>
    <w:lvl w:ilvl="1">
      <w:start w:val="1"/>
      <w:numFmt w:val="decimalZero"/>
      <w:lvlText w:val="%1.%2"/>
      <w:lvlJc w:val="left"/>
      <w:pPr>
        <w:ind w:left="1900" w:hanging="720"/>
      </w:pPr>
      <w:rPr>
        <w:rFonts w:ascii="Arial" w:eastAsia="Arial" w:hAnsi="Arial" w:cs="Arial" w:hint="default"/>
        <w:b/>
        <w:bCs/>
        <w:i w:val="0"/>
        <w:iCs w:val="0"/>
        <w:spacing w:val="0"/>
        <w:w w:val="99"/>
        <w:sz w:val="24"/>
        <w:szCs w:val="24"/>
        <w:lang w:val="en-US" w:eastAsia="en-US" w:bidi="ar-SA"/>
      </w:rPr>
    </w:lvl>
    <w:lvl w:ilvl="2">
      <w:start w:val="1"/>
      <w:numFmt w:val="decimal"/>
      <w:lvlText w:val="%1.%2.%3"/>
      <w:lvlJc w:val="left"/>
      <w:pPr>
        <w:ind w:left="2711" w:hanging="812"/>
      </w:pPr>
      <w:rPr>
        <w:rFonts w:ascii="Arial" w:eastAsia="Arial" w:hAnsi="Arial" w:cs="Arial" w:hint="default"/>
        <w:b/>
        <w:bCs/>
        <w:i w:val="0"/>
        <w:iCs w:val="0"/>
        <w:spacing w:val="-2"/>
        <w:w w:val="99"/>
        <w:sz w:val="24"/>
        <w:szCs w:val="24"/>
        <w:lang w:val="en-US" w:eastAsia="en-US" w:bidi="ar-SA"/>
      </w:rPr>
    </w:lvl>
    <w:lvl w:ilvl="3">
      <w:numFmt w:val="bullet"/>
      <w:lvlText w:val="•"/>
      <w:lvlJc w:val="left"/>
      <w:pPr>
        <w:ind w:left="4644" w:hanging="812"/>
      </w:pPr>
      <w:rPr>
        <w:rFonts w:hint="default"/>
        <w:lang w:val="en-US" w:eastAsia="en-US" w:bidi="ar-SA"/>
      </w:rPr>
    </w:lvl>
    <w:lvl w:ilvl="4">
      <w:numFmt w:val="bullet"/>
      <w:lvlText w:val="•"/>
      <w:lvlJc w:val="left"/>
      <w:pPr>
        <w:ind w:left="5606" w:hanging="812"/>
      </w:pPr>
      <w:rPr>
        <w:rFonts w:hint="default"/>
        <w:lang w:val="en-US" w:eastAsia="en-US" w:bidi="ar-SA"/>
      </w:rPr>
    </w:lvl>
    <w:lvl w:ilvl="5">
      <w:numFmt w:val="bullet"/>
      <w:lvlText w:val="•"/>
      <w:lvlJc w:val="left"/>
      <w:pPr>
        <w:ind w:left="6568" w:hanging="812"/>
      </w:pPr>
      <w:rPr>
        <w:rFonts w:hint="default"/>
        <w:lang w:val="en-US" w:eastAsia="en-US" w:bidi="ar-SA"/>
      </w:rPr>
    </w:lvl>
    <w:lvl w:ilvl="6">
      <w:numFmt w:val="bullet"/>
      <w:lvlText w:val="•"/>
      <w:lvlJc w:val="left"/>
      <w:pPr>
        <w:ind w:left="7531" w:hanging="812"/>
      </w:pPr>
      <w:rPr>
        <w:rFonts w:hint="default"/>
        <w:lang w:val="en-US" w:eastAsia="en-US" w:bidi="ar-SA"/>
      </w:rPr>
    </w:lvl>
    <w:lvl w:ilvl="7">
      <w:numFmt w:val="bullet"/>
      <w:lvlText w:val="•"/>
      <w:lvlJc w:val="left"/>
      <w:pPr>
        <w:ind w:left="8493" w:hanging="812"/>
      </w:pPr>
      <w:rPr>
        <w:rFonts w:hint="default"/>
        <w:lang w:val="en-US" w:eastAsia="en-US" w:bidi="ar-SA"/>
      </w:rPr>
    </w:lvl>
    <w:lvl w:ilvl="8">
      <w:numFmt w:val="bullet"/>
      <w:lvlText w:val="•"/>
      <w:lvlJc w:val="left"/>
      <w:pPr>
        <w:ind w:left="9455" w:hanging="812"/>
      </w:pPr>
      <w:rPr>
        <w:rFonts w:hint="default"/>
        <w:lang w:val="en-US" w:eastAsia="en-US" w:bidi="ar-SA"/>
      </w:rPr>
    </w:lvl>
  </w:abstractNum>
  <w:abstractNum w:abstractNumId="11" w15:restartNumberingAfterBreak="0">
    <w:nsid w:val="63463651"/>
    <w:multiLevelType w:val="hybridMultilevel"/>
    <w:tmpl w:val="0C509A12"/>
    <w:lvl w:ilvl="0" w:tplc="1D92CF86">
      <w:start w:val="1"/>
      <w:numFmt w:val="decimal"/>
      <w:lvlText w:val="%1."/>
      <w:lvlJc w:val="left"/>
      <w:pPr>
        <w:ind w:left="1020" w:hanging="360"/>
      </w:pPr>
    </w:lvl>
    <w:lvl w:ilvl="1" w:tplc="F6386AE6">
      <w:start w:val="1"/>
      <w:numFmt w:val="decimal"/>
      <w:lvlText w:val="%2."/>
      <w:lvlJc w:val="left"/>
      <w:pPr>
        <w:ind w:left="1020" w:hanging="360"/>
      </w:pPr>
    </w:lvl>
    <w:lvl w:ilvl="2" w:tplc="53AAFB0A">
      <w:start w:val="1"/>
      <w:numFmt w:val="decimal"/>
      <w:lvlText w:val="%3."/>
      <w:lvlJc w:val="left"/>
      <w:pPr>
        <w:ind w:left="1020" w:hanging="360"/>
      </w:pPr>
    </w:lvl>
    <w:lvl w:ilvl="3" w:tplc="661CD5A2">
      <w:start w:val="1"/>
      <w:numFmt w:val="decimal"/>
      <w:lvlText w:val="%4."/>
      <w:lvlJc w:val="left"/>
      <w:pPr>
        <w:ind w:left="1020" w:hanging="360"/>
      </w:pPr>
    </w:lvl>
    <w:lvl w:ilvl="4" w:tplc="6316E21E">
      <w:start w:val="1"/>
      <w:numFmt w:val="decimal"/>
      <w:lvlText w:val="%5."/>
      <w:lvlJc w:val="left"/>
      <w:pPr>
        <w:ind w:left="1020" w:hanging="360"/>
      </w:pPr>
    </w:lvl>
    <w:lvl w:ilvl="5" w:tplc="3D66D436">
      <w:start w:val="1"/>
      <w:numFmt w:val="decimal"/>
      <w:lvlText w:val="%6."/>
      <w:lvlJc w:val="left"/>
      <w:pPr>
        <w:ind w:left="1020" w:hanging="360"/>
      </w:pPr>
    </w:lvl>
    <w:lvl w:ilvl="6" w:tplc="AE5A405C">
      <w:start w:val="1"/>
      <w:numFmt w:val="decimal"/>
      <w:lvlText w:val="%7."/>
      <w:lvlJc w:val="left"/>
      <w:pPr>
        <w:ind w:left="1020" w:hanging="360"/>
      </w:pPr>
    </w:lvl>
    <w:lvl w:ilvl="7" w:tplc="70BE9C80">
      <w:start w:val="1"/>
      <w:numFmt w:val="decimal"/>
      <w:lvlText w:val="%8."/>
      <w:lvlJc w:val="left"/>
      <w:pPr>
        <w:ind w:left="1020" w:hanging="360"/>
      </w:pPr>
    </w:lvl>
    <w:lvl w:ilvl="8" w:tplc="77241A38">
      <w:start w:val="1"/>
      <w:numFmt w:val="decimal"/>
      <w:lvlText w:val="%9."/>
      <w:lvlJc w:val="left"/>
      <w:pPr>
        <w:ind w:left="1020" w:hanging="360"/>
      </w:pPr>
    </w:lvl>
  </w:abstractNum>
  <w:abstractNum w:abstractNumId="12" w15:restartNumberingAfterBreak="0">
    <w:nsid w:val="6FFF5A83"/>
    <w:multiLevelType w:val="hybridMultilevel"/>
    <w:tmpl w:val="17A2EFCE"/>
    <w:lvl w:ilvl="0" w:tplc="6400D588">
      <w:start w:val="1"/>
      <w:numFmt w:val="decimal"/>
      <w:lvlText w:val="%1."/>
      <w:lvlJc w:val="left"/>
      <w:pPr>
        <w:ind w:left="1020" w:hanging="360"/>
      </w:pPr>
    </w:lvl>
    <w:lvl w:ilvl="1" w:tplc="3A88EDFE">
      <w:start w:val="1"/>
      <w:numFmt w:val="decimal"/>
      <w:lvlText w:val="%2."/>
      <w:lvlJc w:val="left"/>
      <w:pPr>
        <w:ind w:left="1020" w:hanging="360"/>
      </w:pPr>
    </w:lvl>
    <w:lvl w:ilvl="2" w:tplc="D71CC40C">
      <w:start w:val="1"/>
      <w:numFmt w:val="decimal"/>
      <w:lvlText w:val="%3."/>
      <w:lvlJc w:val="left"/>
      <w:pPr>
        <w:ind w:left="1020" w:hanging="360"/>
      </w:pPr>
    </w:lvl>
    <w:lvl w:ilvl="3" w:tplc="90C2DA24">
      <w:start w:val="1"/>
      <w:numFmt w:val="decimal"/>
      <w:lvlText w:val="%4."/>
      <w:lvlJc w:val="left"/>
      <w:pPr>
        <w:ind w:left="1020" w:hanging="360"/>
      </w:pPr>
    </w:lvl>
    <w:lvl w:ilvl="4" w:tplc="2058448A">
      <w:start w:val="1"/>
      <w:numFmt w:val="decimal"/>
      <w:lvlText w:val="%5."/>
      <w:lvlJc w:val="left"/>
      <w:pPr>
        <w:ind w:left="1020" w:hanging="360"/>
      </w:pPr>
    </w:lvl>
    <w:lvl w:ilvl="5" w:tplc="D0D2B3DC">
      <w:start w:val="1"/>
      <w:numFmt w:val="decimal"/>
      <w:lvlText w:val="%6."/>
      <w:lvlJc w:val="left"/>
      <w:pPr>
        <w:ind w:left="1020" w:hanging="360"/>
      </w:pPr>
    </w:lvl>
    <w:lvl w:ilvl="6" w:tplc="A51EF4AC">
      <w:start w:val="1"/>
      <w:numFmt w:val="decimal"/>
      <w:lvlText w:val="%7."/>
      <w:lvlJc w:val="left"/>
      <w:pPr>
        <w:ind w:left="1020" w:hanging="360"/>
      </w:pPr>
    </w:lvl>
    <w:lvl w:ilvl="7" w:tplc="315E32CE">
      <w:start w:val="1"/>
      <w:numFmt w:val="decimal"/>
      <w:lvlText w:val="%8."/>
      <w:lvlJc w:val="left"/>
      <w:pPr>
        <w:ind w:left="1020" w:hanging="360"/>
      </w:pPr>
    </w:lvl>
    <w:lvl w:ilvl="8" w:tplc="537AEC00">
      <w:start w:val="1"/>
      <w:numFmt w:val="decimal"/>
      <w:lvlText w:val="%9."/>
      <w:lvlJc w:val="left"/>
      <w:pPr>
        <w:ind w:left="1020" w:hanging="360"/>
      </w:pPr>
    </w:lvl>
  </w:abstractNum>
  <w:abstractNum w:abstractNumId="13" w15:restartNumberingAfterBreak="0">
    <w:nsid w:val="728A745D"/>
    <w:multiLevelType w:val="hybridMultilevel"/>
    <w:tmpl w:val="D6086858"/>
    <w:lvl w:ilvl="0" w:tplc="2034E6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2408B4"/>
    <w:multiLevelType w:val="hybridMultilevel"/>
    <w:tmpl w:val="1186A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DB2988"/>
    <w:multiLevelType w:val="hybridMultilevel"/>
    <w:tmpl w:val="E3109BA0"/>
    <w:lvl w:ilvl="0" w:tplc="F7681442">
      <w:start w:val="1"/>
      <w:numFmt w:val="decimal"/>
      <w:lvlText w:val="%1."/>
      <w:lvlJc w:val="left"/>
      <w:pPr>
        <w:ind w:left="1020" w:hanging="360"/>
      </w:pPr>
    </w:lvl>
    <w:lvl w:ilvl="1" w:tplc="8056DB0C">
      <w:start w:val="1"/>
      <w:numFmt w:val="decimal"/>
      <w:lvlText w:val="%2."/>
      <w:lvlJc w:val="left"/>
      <w:pPr>
        <w:ind w:left="1020" w:hanging="360"/>
      </w:pPr>
    </w:lvl>
    <w:lvl w:ilvl="2" w:tplc="E9527C66">
      <w:start w:val="1"/>
      <w:numFmt w:val="decimal"/>
      <w:lvlText w:val="%3."/>
      <w:lvlJc w:val="left"/>
      <w:pPr>
        <w:ind w:left="1020" w:hanging="360"/>
      </w:pPr>
    </w:lvl>
    <w:lvl w:ilvl="3" w:tplc="F2D0A47A">
      <w:start w:val="1"/>
      <w:numFmt w:val="decimal"/>
      <w:lvlText w:val="%4."/>
      <w:lvlJc w:val="left"/>
      <w:pPr>
        <w:ind w:left="1020" w:hanging="360"/>
      </w:pPr>
    </w:lvl>
    <w:lvl w:ilvl="4" w:tplc="7AAEEA26">
      <w:start w:val="1"/>
      <w:numFmt w:val="decimal"/>
      <w:lvlText w:val="%5."/>
      <w:lvlJc w:val="left"/>
      <w:pPr>
        <w:ind w:left="1020" w:hanging="360"/>
      </w:pPr>
    </w:lvl>
    <w:lvl w:ilvl="5" w:tplc="57C0D03C">
      <w:start w:val="1"/>
      <w:numFmt w:val="decimal"/>
      <w:lvlText w:val="%6."/>
      <w:lvlJc w:val="left"/>
      <w:pPr>
        <w:ind w:left="1020" w:hanging="360"/>
      </w:pPr>
    </w:lvl>
    <w:lvl w:ilvl="6" w:tplc="3CF61578">
      <w:start w:val="1"/>
      <w:numFmt w:val="decimal"/>
      <w:lvlText w:val="%7."/>
      <w:lvlJc w:val="left"/>
      <w:pPr>
        <w:ind w:left="1020" w:hanging="360"/>
      </w:pPr>
    </w:lvl>
    <w:lvl w:ilvl="7" w:tplc="E5D81A24">
      <w:start w:val="1"/>
      <w:numFmt w:val="decimal"/>
      <w:lvlText w:val="%8."/>
      <w:lvlJc w:val="left"/>
      <w:pPr>
        <w:ind w:left="1020" w:hanging="360"/>
      </w:pPr>
    </w:lvl>
    <w:lvl w:ilvl="8" w:tplc="53D2187E">
      <w:start w:val="1"/>
      <w:numFmt w:val="decimal"/>
      <w:lvlText w:val="%9."/>
      <w:lvlJc w:val="left"/>
      <w:pPr>
        <w:ind w:left="1020" w:hanging="360"/>
      </w:pPr>
    </w:lvl>
  </w:abstractNum>
  <w:num w:numId="1" w16cid:durableId="755516321">
    <w:abstractNumId w:val="13"/>
  </w:num>
  <w:num w:numId="2" w16cid:durableId="145901223">
    <w:abstractNumId w:val="5"/>
  </w:num>
  <w:num w:numId="3" w16cid:durableId="159739239">
    <w:abstractNumId w:val="6"/>
  </w:num>
  <w:num w:numId="4" w16cid:durableId="214583851">
    <w:abstractNumId w:val="1"/>
  </w:num>
  <w:num w:numId="5" w16cid:durableId="588276268">
    <w:abstractNumId w:val="14"/>
  </w:num>
  <w:num w:numId="6" w16cid:durableId="156650863">
    <w:abstractNumId w:val="0"/>
  </w:num>
  <w:num w:numId="7" w16cid:durableId="1090664998">
    <w:abstractNumId w:val="3"/>
  </w:num>
  <w:num w:numId="8" w16cid:durableId="238833418">
    <w:abstractNumId w:val="7"/>
  </w:num>
  <w:num w:numId="9" w16cid:durableId="431584783">
    <w:abstractNumId w:val="10"/>
  </w:num>
  <w:num w:numId="10" w16cid:durableId="177888919">
    <w:abstractNumId w:val="15"/>
  </w:num>
  <w:num w:numId="11" w16cid:durableId="854148966">
    <w:abstractNumId w:val="12"/>
  </w:num>
  <w:num w:numId="12" w16cid:durableId="759986848">
    <w:abstractNumId w:val="11"/>
  </w:num>
  <w:num w:numId="13" w16cid:durableId="2085909459">
    <w:abstractNumId w:val="9"/>
  </w:num>
  <w:num w:numId="14" w16cid:durableId="1014108888">
    <w:abstractNumId w:val="8"/>
  </w:num>
  <w:num w:numId="15" w16cid:durableId="2055109604">
    <w:abstractNumId w:val="4"/>
  </w:num>
  <w:num w:numId="16" w16cid:durableId="976494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ACD"/>
    <w:rsid w:val="00000E06"/>
    <w:rsid w:val="000014FD"/>
    <w:rsid w:val="00004202"/>
    <w:rsid w:val="000045CC"/>
    <w:rsid w:val="000161E3"/>
    <w:rsid w:val="0002211A"/>
    <w:rsid w:val="0003273D"/>
    <w:rsid w:val="00043F11"/>
    <w:rsid w:val="00052506"/>
    <w:rsid w:val="000531B9"/>
    <w:rsid w:val="00061700"/>
    <w:rsid w:val="0006648A"/>
    <w:rsid w:val="0008485A"/>
    <w:rsid w:val="000878D3"/>
    <w:rsid w:val="00090B0C"/>
    <w:rsid w:val="00096770"/>
    <w:rsid w:val="000A0C7A"/>
    <w:rsid w:val="000B1F15"/>
    <w:rsid w:val="000C2C94"/>
    <w:rsid w:val="000C38BB"/>
    <w:rsid w:val="000C75A7"/>
    <w:rsid w:val="000D4924"/>
    <w:rsid w:val="000D7BE1"/>
    <w:rsid w:val="000E2165"/>
    <w:rsid w:val="000E2F63"/>
    <w:rsid w:val="00100E67"/>
    <w:rsid w:val="0010115C"/>
    <w:rsid w:val="001048B7"/>
    <w:rsid w:val="00115774"/>
    <w:rsid w:val="001274B2"/>
    <w:rsid w:val="001351E4"/>
    <w:rsid w:val="001438B1"/>
    <w:rsid w:val="00143D2B"/>
    <w:rsid w:val="001500F4"/>
    <w:rsid w:val="00157AB9"/>
    <w:rsid w:val="00160C3A"/>
    <w:rsid w:val="0017550A"/>
    <w:rsid w:val="00182D46"/>
    <w:rsid w:val="00185648"/>
    <w:rsid w:val="001876FF"/>
    <w:rsid w:val="00187750"/>
    <w:rsid w:val="001B0D7E"/>
    <w:rsid w:val="001D69CD"/>
    <w:rsid w:val="001E11D1"/>
    <w:rsid w:val="001F0AEF"/>
    <w:rsid w:val="001F529D"/>
    <w:rsid w:val="002021B9"/>
    <w:rsid w:val="002059C7"/>
    <w:rsid w:val="002129CD"/>
    <w:rsid w:val="00214408"/>
    <w:rsid w:val="00215633"/>
    <w:rsid w:val="00231295"/>
    <w:rsid w:val="00233094"/>
    <w:rsid w:val="00233D6B"/>
    <w:rsid w:val="0023481A"/>
    <w:rsid w:val="002364CD"/>
    <w:rsid w:val="00257C81"/>
    <w:rsid w:val="00262892"/>
    <w:rsid w:val="00274FA7"/>
    <w:rsid w:val="00281535"/>
    <w:rsid w:val="002920E0"/>
    <w:rsid w:val="00295EB5"/>
    <w:rsid w:val="002B66D6"/>
    <w:rsid w:val="002C18DC"/>
    <w:rsid w:val="002C1F06"/>
    <w:rsid w:val="00311F92"/>
    <w:rsid w:val="0031506B"/>
    <w:rsid w:val="00320179"/>
    <w:rsid w:val="00335230"/>
    <w:rsid w:val="00340657"/>
    <w:rsid w:val="003604F1"/>
    <w:rsid w:val="003716D3"/>
    <w:rsid w:val="003743E5"/>
    <w:rsid w:val="00374FA7"/>
    <w:rsid w:val="00396266"/>
    <w:rsid w:val="0039640A"/>
    <w:rsid w:val="00397D50"/>
    <w:rsid w:val="003B0913"/>
    <w:rsid w:val="003B682D"/>
    <w:rsid w:val="003B74EF"/>
    <w:rsid w:val="003C10E4"/>
    <w:rsid w:val="003C5A2C"/>
    <w:rsid w:val="003E7C0F"/>
    <w:rsid w:val="003F6F1A"/>
    <w:rsid w:val="00401792"/>
    <w:rsid w:val="004127C2"/>
    <w:rsid w:val="00422FA6"/>
    <w:rsid w:val="0043287A"/>
    <w:rsid w:val="00474E3A"/>
    <w:rsid w:val="00477DF1"/>
    <w:rsid w:val="00485933"/>
    <w:rsid w:val="00486539"/>
    <w:rsid w:val="004912BF"/>
    <w:rsid w:val="00493B61"/>
    <w:rsid w:val="004B3954"/>
    <w:rsid w:val="004B422A"/>
    <w:rsid w:val="004D0698"/>
    <w:rsid w:val="004D24BE"/>
    <w:rsid w:val="004D4CC7"/>
    <w:rsid w:val="004E0A2D"/>
    <w:rsid w:val="004E3AB5"/>
    <w:rsid w:val="00525C9E"/>
    <w:rsid w:val="00536796"/>
    <w:rsid w:val="005368CD"/>
    <w:rsid w:val="00542EE7"/>
    <w:rsid w:val="00547894"/>
    <w:rsid w:val="00553201"/>
    <w:rsid w:val="00554AE3"/>
    <w:rsid w:val="00565349"/>
    <w:rsid w:val="00566278"/>
    <w:rsid w:val="005662E8"/>
    <w:rsid w:val="00596926"/>
    <w:rsid w:val="005A1202"/>
    <w:rsid w:val="005A194A"/>
    <w:rsid w:val="005B339F"/>
    <w:rsid w:val="005B6392"/>
    <w:rsid w:val="005E1304"/>
    <w:rsid w:val="005E16E9"/>
    <w:rsid w:val="005E38F4"/>
    <w:rsid w:val="005E6528"/>
    <w:rsid w:val="006027F8"/>
    <w:rsid w:val="006228EF"/>
    <w:rsid w:val="00627E69"/>
    <w:rsid w:val="00630C68"/>
    <w:rsid w:val="00635205"/>
    <w:rsid w:val="00647934"/>
    <w:rsid w:val="00656159"/>
    <w:rsid w:val="00691A40"/>
    <w:rsid w:val="00691C6F"/>
    <w:rsid w:val="006A1406"/>
    <w:rsid w:val="006A1D09"/>
    <w:rsid w:val="006A2C9A"/>
    <w:rsid w:val="006B342B"/>
    <w:rsid w:val="006B6B35"/>
    <w:rsid w:val="006E6806"/>
    <w:rsid w:val="006E6821"/>
    <w:rsid w:val="006E7ACD"/>
    <w:rsid w:val="006F1F4D"/>
    <w:rsid w:val="006F6602"/>
    <w:rsid w:val="006F7B75"/>
    <w:rsid w:val="00702E4D"/>
    <w:rsid w:val="007043A5"/>
    <w:rsid w:val="007072A5"/>
    <w:rsid w:val="00710B03"/>
    <w:rsid w:val="007132EC"/>
    <w:rsid w:val="00716DE8"/>
    <w:rsid w:val="0071706F"/>
    <w:rsid w:val="007230DE"/>
    <w:rsid w:val="00727208"/>
    <w:rsid w:val="00727D87"/>
    <w:rsid w:val="00734405"/>
    <w:rsid w:val="0074584C"/>
    <w:rsid w:val="00756010"/>
    <w:rsid w:val="00761200"/>
    <w:rsid w:val="00761B94"/>
    <w:rsid w:val="00767169"/>
    <w:rsid w:val="00770534"/>
    <w:rsid w:val="00781D37"/>
    <w:rsid w:val="00782705"/>
    <w:rsid w:val="00783E28"/>
    <w:rsid w:val="007857CC"/>
    <w:rsid w:val="00787545"/>
    <w:rsid w:val="00792B79"/>
    <w:rsid w:val="007A535A"/>
    <w:rsid w:val="007D6278"/>
    <w:rsid w:val="007E1719"/>
    <w:rsid w:val="007E1F41"/>
    <w:rsid w:val="007F6D15"/>
    <w:rsid w:val="007F76D5"/>
    <w:rsid w:val="008068CC"/>
    <w:rsid w:val="00806C0F"/>
    <w:rsid w:val="008168D9"/>
    <w:rsid w:val="008206F6"/>
    <w:rsid w:val="008302F6"/>
    <w:rsid w:val="00831B51"/>
    <w:rsid w:val="00834E05"/>
    <w:rsid w:val="00847269"/>
    <w:rsid w:val="00864EC6"/>
    <w:rsid w:val="00874F4A"/>
    <w:rsid w:val="00876DCF"/>
    <w:rsid w:val="008852E5"/>
    <w:rsid w:val="008A67B2"/>
    <w:rsid w:val="008B723A"/>
    <w:rsid w:val="008C1065"/>
    <w:rsid w:val="008C69E1"/>
    <w:rsid w:val="008D0382"/>
    <w:rsid w:val="008D20B3"/>
    <w:rsid w:val="008D3909"/>
    <w:rsid w:val="008E41CE"/>
    <w:rsid w:val="008E7E8B"/>
    <w:rsid w:val="00910D15"/>
    <w:rsid w:val="009227B1"/>
    <w:rsid w:val="00932168"/>
    <w:rsid w:val="009406EF"/>
    <w:rsid w:val="00946477"/>
    <w:rsid w:val="00950FC7"/>
    <w:rsid w:val="0095319D"/>
    <w:rsid w:val="0097576F"/>
    <w:rsid w:val="00976CF6"/>
    <w:rsid w:val="00984E57"/>
    <w:rsid w:val="009933B8"/>
    <w:rsid w:val="009A34C3"/>
    <w:rsid w:val="009D4ECB"/>
    <w:rsid w:val="009E5C4A"/>
    <w:rsid w:val="00A04642"/>
    <w:rsid w:val="00A348FB"/>
    <w:rsid w:val="00A42E0A"/>
    <w:rsid w:val="00A45895"/>
    <w:rsid w:val="00A47880"/>
    <w:rsid w:val="00A52E1D"/>
    <w:rsid w:val="00A53F94"/>
    <w:rsid w:val="00A730EB"/>
    <w:rsid w:val="00A810DD"/>
    <w:rsid w:val="00A83203"/>
    <w:rsid w:val="00A86155"/>
    <w:rsid w:val="00A9645A"/>
    <w:rsid w:val="00AB1824"/>
    <w:rsid w:val="00AB5A6E"/>
    <w:rsid w:val="00AE5939"/>
    <w:rsid w:val="00AF3634"/>
    <w:rsid w:val="00B22759"/>
    <w:rsid w:val="00B40A18"/>
    <w:rsid w:val="00B45B8D"/>
    <w:rsid w:val="00B5702F"/>
    <w:rsid w:val="00B62FD8"/>
    <w:rsid w:val="00B64134"/>
    <w:rsid w:val="00B6787A"/>
    <w:rsid w:val="00B80699"/>
    <w:rsid w:val="00B940B3"/>
    <w:rsid w:val="00B943E2"/>
    <w:rsid w:val="00B94C92"/>
    <w:rsid w:val="00B972A6"/>
    <w:rsid w:val="00BC16BE"/>
    <w:rsid w:val="00BC4939"/>
    <w:rsid w:val="00BC7F4B"/>
    <w:rsid w:val="00BD0EA2"/>
    <w:rsid w:val="00BD1288"/>
    <w:rsid w:val="00BE4BD6"/>
    <w:rsid w:val="00BF2073"/>
    <w:rsid w:val="00C00B07"/>
    <w:rsid w:val="00C07C66"/>
    <w:rsid w:val="00C3340B"/>
    <w:rsid w:val="00C33DDF"/>
    <w:rsid w:val="00C33FCC"/>
    <w:rsid w:val="00C46781"/>
    <w:rsid w:val="00C46975"/>
    <w:rsid w:val="00C66729"/>
    <w:rsid w:val="00C903EC"/>
    <w:rsid w:val="00CA1F66"/>
    <w:rsid w:val="00CA4C02"/>
    <w:rsid w:val="00CB30A7"/>
    <w:rsid w:val="00CC1602"/>
    <w:rsid w:val="00CC263C"/>
    <w:rsid w:val="00CC552F"/>
    <w:rsid w:val="00CD5F83"/>
    <w:rsid w:val="00CE05F2"/>
    <w:rsid w:val="00CE2AC5"/>
    <w:rsid w:val="00CE3F5D"/>
    <w:rsid w:val="00CF589C"/>
    <w:rsid w:val="00D02FF5"/>
    <w:rsid w:val="00D20591"/>
    <w:rsid w:val="00D30481"/>
    <w:rsid w:val="00D31663"/>
    <w:rsid w:val="00D34A22"/>
    <w:rsid w:val="00D36AF0"/>
    <w:rsid w:val="00D36F81"/>
    <w:rsid w:val="00D370CB"/>
    <w:rsid w:val="00D3748E"/>
    <w:rsid w:val="00D42C6E"/>
    <w:rsid w:val="00D45DAA"/>
    <w:rsid w:val="00D57607"/>
    <w:rsid w:val="00D672C0"/>
    <w:rsid w:val="00D7356F"/>
    <w:rsid w:val="00D900A9"/>
    <w:rsid w:val="00D91590"/>
    <w:rsid w:val="00D9472C"/>
    <w:rsid w:val="00D96E00"/>
    <w:rsid w:val="00DB42DA"/>
    <w:rsid w:val="00DC31DB"/>
    <w:rsid w:val="00DE2647"/>
    <w:rsid w:val="00DE67BA"/>
    <w:rsid w:val="00DF0278"/>
    <w:rsid w:val="00DF0B75"/>
    <w:rsid w:val="00DF4F3D"/>
    <w:rsid w:val="00DF538D"/>
    <w:rsid w:val="00E1207E"/>
    <w:rsid w:val="00E1208C"/>
    <w:rsid w:val="00E20F6F"/>
    <w:rsid w:val="00E21D41"/>
    <w:rsid w:val="00E22E1C"/>
    <w:rsid w:val="00E2306A"/>
    <w:rsid w:val="00E35109"/>
    <w:rsid w:val="00E35B05"/>
    <w:rsid w:val="00E42283"/>
    <w:rsid w:val="00E422CD"/>
    <w:rsid w:val="00E46136"/>
    <w:rsid w:val="00E56B80"/>
    <w:rsid w:val="00E6235B"/>
    <w:rsid w:val="00E70E1A"/>
    <w:rsid w:val="00E73DE1"/>
    <w:rsid w:val="00E976BD"/>
    <w:rsid w:val="00EA5FF7"/>
    <w:rsid w:val="00EB7DEC"/>
    <w:rsid w:val="00EC0A54"/>
    <w:rsid w:val="00EC49C5"/>
    <w:rsid w:val="00ED02B2"/>
    <w:rsid w:val="00ED6671"/>
    <w:rsid w:val="00EE1E0F"/>
    <w:rsid w:val="00EE4495"/>
    <w:rsid w:val="00EF1A6E"/>
    <w:rsid w:val="00EF5767"/>
    <w:rsid w:val="00EF5F85"/>
    <w:rsid w:val="00F0480C"/>
    <w:rsid w:val="00F06D45"/>
    <w:rsid w:val="00F12B94"/>
    <w:rsid w:val="00F24B61"/>
    <w:rsid w:val="00F27788"/>
    <w:rsid w:val="00F363D3"/>
    <w:rsid w:val="00F42933"/>
    <w:rsid w:val="00F55B24"/>
    <w:rsid w:val="00F7656A"/>
    <w:rsid w:val="00F93EA6"/>
    <w:rsid w:val="00F978CD"/>
    <w:rsid w:val="00FB3585"/>
    <w:rsid w:val="00FB4ADC"/>
    <w:rsid w:val="00FC3370"/>
    <w:rsid w:val="00FC5191"/>
    <w:rsid w:val="00FD1508"/>
    <w:rsid w:val="00FD698C"/>
    <w:rsid w:val="00FD6E3E"/>
    <w:rsid w:val="00FD7529"/>
    <w:rsid w:val="00FE7309"/>
    <w:rsid w:val="00FE7975"/>
    <w:rsid w:val="00FF5B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5DB9"/>
  <w15:docId w15:val="{977E7447-908C-449B-B510-631B389C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46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04642"/>
    <w:pPr>
      <w:ind w:left="720"/>
      <w:contextualSpacing/>
    </w:pPr>
  </w:style>
  <w:style w:type="paragraph" w:styleId="FootnoteText">
    <w:name w:val="footnote text"/>
    <w:basedOn w:val="Normal"/>
    <w:link w:val="FootnoteTextChar"/>
    <w:uiPriority w:val="99"/>
    <w:semiHidden/>
    <w:unhideWhenUsed/>
    <w:rsid w:val="000531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31B9"/>
    <w:rPr>
      <w:sz w:val="20"/>
      <w:szCs w:val="20"/>
    </w:rPr>
  </w:style>
  <w:style w:type="character" w:styleId="FootnoteReference">
    <w:name w:val="footnote reference"/>
    <w:basedOn w:val="DefaultParagraphFont"/>
    <w:uiPriority w:val="99"/>
    <w:semiHidden/>
    <w:unhideWhenUsed/>
    <w:rsid w:val="000531B9"/>
    <w:rPr>
      <w:vertAlign w:val="superscript"/>
    </w:rPr>
  </w:style>
  <w:style w:type="paragraph" w:styleId="Header">
    <w:name w:val="header"/>
    <w:basedOn w:val="Normal"/>
    <w:link w:val="HeaderChar"/>
    <w:uiPriority w:val="99"/>
    <w:unhideWhenUsed/>
    <w:rsid w:val="00CB3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0A7"/>
  </w:style>
  <w:style w:type="paragraph" w:styleId="Footer">
    <w:name w:val="footer"/>
    <w:basedOn w:val="Normal"/>
    <w:link w:val="FooterChar"/>
    <w:uiPriority w:val="99"/>
    <w:unhideWhenUsed/>
    <w:rsid w:val="00CB3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0A7"/>
  </w:style>
  <w:style w:type="paragraph" w:styleId="BalloonText">
    <w:name w:val="Balloon Text"/>
    <w:basedOn w:val="Normal"/>
    <w:link w:val="BalloonTextChar"/>
    <w:uiPriority w:val="99"/>
    <w:semiHidden/>
    <w:unhideWhenUsed/>
    <w:rsid w:val="00565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49"/>
    <w:rPr>
      <w:rFonts w:ascii="Segoe UI" w:hAnsi="Segoe UI" w:cs="Segoe UI"/>
      <w:sz w:val="18"/>
      <w:szCs w:val="18"/>
    </w:rPr>
  </w:style>
  <w:style w:type="character" w:styleId="CommentReference">
    <w:name w:val="annotation reference"/>
    <w:basedOn w:val="DefaultParagraphFont"/>
    <w:uiPriority w:val="99"/>
    <w:semiHidden/>
    <w:unhideWhenUsed/>
    <w:rsid w:val="00185648"/>
    <w:rPr>
      <w:sz w:val="16"/>
      <w:szCs w:val="16"/>
    </w:rPr>
  </w:style>
  <w:style w:type="paragraph" w:styleId="CommentText">
    <w:name w:val="annotation text"/>
    <w:basedOn w:val="Normal"/>
    <w:link w:val="CommentTextChar"/>
    <w:uiPriority w:val="99"/>
    <w:unhideWhenUsed/>
    <w:rsid w:val="00185648"/>
    <w:pPr>
      <w:spacing w:line="240" w:lineRule="auto"/>
    </w:pPr>
    <w:rPr>
      <w:sz w:val="20"/>
      <w:szCs w:val="20"/>
    </w:rPr>
  </w:style>
  <w:style w:type="character" w:customStyle="1" w:styleId="CommentTextChar">
    <w:name w:val="Comment Text Char"/>
    <w:basedOn w:val="DefaultParagraphFont"/>
    <w:link w:val="CommentText"/>
    <w:uiPriority w:val="99"/>
    <w:rsid w:val="00185648"/>
    <w:rPr>
      <w:sz w:val="20"/>
      <w:szCs w:val="20"/>
    </w:rPr>
  </w:style>
  <w:style w:type="paragraph" w:styleId="CommentSubject">
    <w:name w:val="annotation subject"/>
    <w:basedOn w:val="CommentText"/>
    <w:next w:val="CommentText"/>
    <w:link w:val="CommentSubjectChar"/>
    <w:uiPriority w:val="99"/>
    <w:semiHidden/>
    <w:unhideWhenUsed/>
    <w:rsid w:val="00185648"/>
    <w:rPr>
      <w:b/>
      <w:bCs/>
    </w:rPr>
  </w:style>
  <w:style w:type="character" w:customStyle="1" w:styleId="CommentSubjectChar">
    <w:name w:val="Comment Subject Char"/>
    <w:basedOn w:val="CommentTextChar"/>
    <w:link w:val="CommentSubject"/>
    <w:uiPriority w:val="99"/>
    <w:semiHidden/>
    <w:rsid w:val="00185648"/>
    <w:rPr>
      <w:b/>
      <w:bCs/>
      <w:sz w:val="20"/>
      <w:szCs w:val="20"/>
    </w:rPr>
  </w:style>
  <w:style w:type="paragraph" w:styleId="Revision">
    <w:name w:val="Revision"/>
    <w:hidden/>
    <w:uiPriority w:val="99"/>
    <w:semiHidden/>
    <w:rsid w:val="00F55B24"/>
    <w:pPr>
      <w:spacing w:after="0" w:line="240" w:lineRule="auto"/>
    </w:pPr>
  </w:style>
  <w:style w:type="character" w:styleId="Mention">
    <w:name w:val="Mention"/>
    <w:basedOn w:val="DefaultParagraphFont"/>
    <w:uiPriority w:val="99"/>
    <w:unhideWhenUsed/>
    <w:rsid w:val="005E13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838180">
      <w:bodyDiv w:val="1"/>
      <w:marLeft w:val="0"/>
      <w:marRight w:val="0"/>
      <w:marTop w:val="0"/>
      <w:marBottom w:val="0"/>
      <w:divBdr>
        <w:top w:val="none" w:sz="0" w:space="0" w:color="auto"/>
        <w:left w:val="none" w:sz="0" w:space="0" w:color="auto"/>
        <w:bottom w:val="none" w:sz="0" w:space="0" w:color="auto"/>
        <w:right w:val="none" w:sz="0" w:space="0" w:color="auto"/>
      </w:divBdr>
    </w:div>
    <w:div w:id="1706520255">
      <w:bodyDiv w:val="1"/>
      <w:marLeft w:val="0"/>
      <w:marRight w:val="0"/>
      <w:marTop w:val="0"/>
      <w:marBottom w:val="0"/>
      <w:divBdr>
        <w:top w:val="none" w:sz="0" w:space="0" w:color="auto"/>
        <w:left w:val="none" w:sz="0" w:space="0" w:color="auto"/>
        <w:bottom w:val="none" w:sz="0" w:space="0" w:color="auto"/>
        <w:right w:val="none" w:sz="0" w:space="0" w:color="auto"/>
      </w:divBdr>
    </w:div>
    <w:div w:id="1880701800">
      <w:bodyDiv w:val="1"/>
      <w:marLeft w:val="0"/>
      <w:marRight w:val="0"/>
      <w:marTop w:val="0"/>
      <w:marBottom w:val="0"/>
      <w:divBdr>
        <w:top w:val="none" w:sz="0" w:space="0" w:color="auto"/>
        <w:left w:val="none" w:sz="0" w:space="0" w:color="auto"/>
        <w:bottom w:val="none" w:sz="0" w:space="0" w:color="auto"/>
        <w:right w:val="none" w:sz="0" w:space="0" w:color="auto"/>
      </w:divBdr>
    </w:div>
    <w:div w:id="18978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EBC17-0BD7-40BE-A932-DAE20FD3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Erin Reed</dc:creator>
  <cp:keywords/>
  <cp:lastModifiedBy>Matt Parker</cp:lastModifiedBy>
  <cp:revision>3</cp:revision>
  <cp:lastPrinted>2024-06-06T20:08:00Z</cp:lastPrinted>
  <dcterms:created xsi:type="dcterms:W3CDTF">2024-09-09T17:27:00Z</dcterms:created>
  <dcterms:modified xsi:type="dcterms:W3CDTF">2024-09-09T17:29:00Z</dcterms:modified>
</cp:coreProperties>
</file>