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5ACE" w14:textId="5C9ED654" w:rsidR="007C629E" w:rsidRDefault="009D021F" w:rsidP="00FC34E4">
      <w:pPr>
        <w:jc w:val="both"/>
        <w:rPr>
          <w:rFonts w:ascii="Rockwell" w:hAnsi="Rockwell"/>
          <w:sz w:val="28"/>
          <w:szCs w:val="28"/>
        </w:rPr>
      </w:pPr>
      <w:r w:rsidRPr="009D021F">
        <w:rPr>
          <w:rFonts w:ascii="Rockwell" w:hAnsi="Rockwell"/>
          <w:sz w:val="28"/>
          <w:szCs w:val="28"/>
        </w:rPr>
        <w:t>MEMORANDUM</w:t>
      </w:r>
    </w:p>
    <w:p w14:paraId="0F732A58" w14:textId="77777777" w:rsidR="009D021F" w:rsidRDefault="009D021F">
      <w:pPr>
        <w:rPr>
          <w:rFonts w:ascii="Rockwell" w:hAnsi="Rockwell"/>
          <w:sz w:val="28"/>
          <w:szCs w:val="28"/>
        </w:rPr>
      </w:pPr>
    </w:p>
    <w:p w14:paraId="4B8DD697" w14:textId="3B875AC0" w:rsidR="009D021F" w:rsidRDefault="009D021F" w:rsidP="009C13BC">
      <w:pPr>
        <w:tabs>
          <w:tab w:val="left" w:pos="720"/>
          <w:tab w:val="left" w:pos="1440"/>
          <w:tab w:val="left" w:pos="2160"/>
          <w:tab w:val="left" w:pos="3390"/>
        </w:tabs>
        <w:rPr>
          <w:rFonts w:asciiTheme="majorHAnsi" w:hAnsiTheme="majorHAnsi" w:cstheme="majorHAnsi"/>
        </w:rPr>
      </w:pPr>
      <w:r>
        <w:rPr>
          <w:rFonts w:asciiTheme="majorHAnsi" w:hAnsiTheme="majorHAnsi" w:cstheme="majorHAnsi"/>
        </w:rPr>
        <w:t xml:space="preserve">Date:  </w:t>
      </w:r>
      <w:r>
        <w:rPr>
          <w:rFonts w:asciiTheme="majorHAnsi" w:hAnsiTheme="majorHAnsi" w:cstheme="majorHAnsi"/>
        </w:rPr>
        <w:tab/>
        <w:t>January 2</w:t>
      </w:r>
      <w:r w:rsidR="00247321">
        <w:rPr>
          <w:rFonts w:asciiTheme="majorHAnsi" w:hAnsiTheme="majorHAnsi" w:cstheme="majorHAnsi"/>
        </w:rPr>
        <w:t>6</w:t>
      </w:r>
      <w:r>
        <w:rPr>
          <w:rFonts w:asciiTheme="majorHAnsi" w:hAnsiTheme="majorHAnsi" w:cstheme="majorHAnsi"/>
        </w:rPr>
        <w:t>, 2024</w:t>
      </w:r>
      <w:r w:rsidR="009C13BC">
        <w:rPr>
          <w:rFonts w:asciiTheme="majorHAnsi" w:hAnsiTheme="majorHAnsi" w:cstheme="majorHAnsi"/>
        </w:rPr>
        <w:tab/>
      </w:r>
    </w:p>
    <w:p w14:paraId="4A2E366B" w14:textId="77777777" w:rsidR="009D021F" w:rsidRDefault="009D021F">
      <w:pPr>
        <w:rPr>
          <w:rFonts w:asciiTheme="majorHAnsi" w:hAnsiTheme="majorHAnsi" w:cstheme="majorHAnsi"/>
        </w:rPr>
      </w:pPr>
    </w:p>
    <w:p w14:paraId="66A01D89" w14:textId="5BD6E94D" w:rsidR="009D021F" w:rsidRDefault="009D021F">
      <w:pPr>
        <w:rPr>
          <w:rFonts w:asciiTheme="majorHAnsi" w:hAnsiTheme="majorHAnsi" w:cstheme="majorHAnsi"/>
        </w:rPr>
      </w:pPr>
      <w:r>
        <w:rPr>
          <w:rFonts w:asciiTheme="majorHAnsi" w:hAnsiTheme="majorHAnsi" w:cstheme="majorHAnsi"/>
        </w:rPr>
        <w:t xml:space="preserve">To:  </w:t>
      </w:r>
      <w:r>
        <w:rPr>
          <w:rFonts w:asciiTheme="majorHAnsi" w:hAnsiTheme="majorHAnsi" w:cstheme="majorHAnsi"/>
        </w:rPr>
        <w:tab/>
        <w:t>Sarah Collard, PhD, Director, County of Siskiyou HHSA</w:t>
      </w:r>
    </w:p>
    <w:p w14:paraId="235D31DC" w14:textId="26F16714" w:rsidR="009D021F" w:rsidRDefault="009D021F">
      <w:pPr>
        <w:rPr>
          <w:rFonts w:asciiTheme="majorHAnsi" w:hAnsiTheme="majorHAnsi" w:cstheme="majorHAnsi"/>
        </w:rPr>
      </w:pPr>
      <w:r>
        <w:rPr>
          <w:rFonts w:asciiTheme="majorHAnsi" w:hAnsiTheme="majorHAnsi" w:cstheme="majorHAnsi"/>
        </w:rPr>
        <w:tab/>
        <w:t>Maddelyn Bryan, Project Coordinator- Housing Programs, County of Siskiyou HHSA</w:t>
      </w:r>
    </w:p>
    <w:p w14:paraId="6B61E23C" w14:textId="77777777" w:rsidR="009D021F" w:rsidRDefault="009D021F">
      <w:pPr>
        <w:rPr>
          <w:rFonts w:asciiTheme="majorHAnsi" w:hAnsiTheme="majorHAnsi" w:cstheme="majorHAnsi"/>
        </w:rPr>
      </w:pPr>
    </w:p>
    <w:p w14:paraId="647E8BAF" w14:textId="58A8713D" w:rsidR="009D021F" w:rsidRDefault="009D021F">
      <w:pPr>
        <w:rPr>
          <w:rFonts w:asciiTheme="majorHAnsi" w:hAnsiTheme="majorHAnsi" w:cstheme="majorHAnsi"/>
        </w:rPr>
      </w:pPr>
      <w:r>
        <w:rPr>
          <w:rFonts w:asciiTheme="majorHAnsi" w:hAnsiTheme="majorHAnsi" w:cstheme="majorHAnsi"/>
        </w:rPr>
        <w:t>From:</w:t>
      </w:r>
      <w:r>
        <w:rPr>
          <w:rFonts w:asciiTheme="majorHAnsi" w:hAnsiTheme="majorHAnsi" w:cstheme="majorHAnsi"/>
        </w:rPr>
        <w:tab/>
        <w:t>James Coles, Principal, Housing Tools</w:t>
      </w:r>
    </w:p>
    <w:p w14:paraId="7D9F62D5" w14:textId="77777777" w:rsidR="009D021F" w:rsidRDefault="009D021F">
      <w:pPr>
        <w:rPr>
          <w:rFonts w:asciiTheme="majorHAnsi" w:hAnsiTheme="majorHAnsi" w:cstheme="majorHAnsi"/>
        </w:rPr>
      </w:pPr>
    </w:p>
    <w:p w14:paraId="0DEBF84D" w14:textId="4F600B3C" w:rsidR="009D021F" w:rsidRDefault="009D021F">
      <w:pPr>
        <w:rPr>
          <w:rFonts w:asciiTheme="majorHAnsi" w:hAnsiTheme="majorHAnsi" w:cstheme="majorHAnsi"/>
        </w:rPr>
      </w:pPr>
      <w:r>
        <w:rPr>
          <w:rFonts w:asciiTheme="majorHAnsi" w:hAnsiTheme="majorHAnsi" w:cstheme="majorHAnsi"/>
        </w:rPr>
        <w:t>RE:</w:t>
      </w:r>
      <w:r>
        <w:rPr>
          <w:rFonts w:asciiTheme="majorHAnsi" w:hAnsiTheme="majorHAnsi" w:cstheme="majorHAnsi"/>
        </w:rPr>
        <w:tab/>
        <w:t>Mountain Townhomes- Project Assessment for Potential County Participation</w:t>
      </w:r>
    </w:p>
    <w:p w14:paraId="22829A7D" w14:textId="77777777" w:rsidR="009D021F" w:rsidRDefault="009D021F">
      <w:pPr>
        <w:rPr>
          <w:rFonts w:asciiTheme="majorHAnsi" w:hAnsiTheme="majorHAnsi" w:cstheme="majorHAnsi"/>
        </w:rPr>
      </w:pPr>
    </w:p>
    <w:p w14:paraId="0C8C1AB9" w14:textId="77777777" w:rsidR="009D021F" w:rsidRDefault="009D021F">
      <w:pPr>
        <w:rPr>
          <w:rFonts w:asciiTheme="majorHAnsi" w:hAnsiTheme="majorHAnsi" w:cstheme="majorHAnsi"/>
        </w:rPr>
      </w:pPr>
    </w:p>
    <w:p w14:paraId="294CE306" w14:textId="28CE8453" w:rsidR="009D021F" w:rsidRPr="00DD560E" w:rsidRDefault="009D021F">
      <w:pPr>
        <w:rPr>
          <w:rFonts w:asciiTheme="minorHAnsi" w:hAnsiTheme="minorHAnsi" w:cstheme="minorHAnsi"/>
          <w:b/>
          <w:bCs/>
        </w:rPr>
      </w:pPr>
      <w:r w:rsidRPr="00DD560E">
        <w:rPr>
          <w:rFonts w:asciiTheme="minorHAnsi" w:hAnsiTheme="minorHAnsi" w:cstheme="minorHAnsi"/>
          <w:b/>
          <w:bCs/>
        </w:rPr>
        <w:t>Introduction</w:t>
      </w:r>
    </w:p>
    <w:p w14:paraId="2E17B5E2" w14:textId="77777777" w:rsidR="009D021F" w:rsidRDefault="009D021F">
      <w:pPr>
        <w:rPr>
          <w:rFonts w:asciiTheme="majorHAnsi" w:hAnsiTheme="majorHAnsi" w:cstheme="majorHAnsi"/>
        </w:rPr>
      </w:pPr>
    </w:p>
    <w:p w14:paraId="2491DE3F" w14:textId="4D97A83E" w:rsidR="009D021F" w:rsidRDefault="009D021F">
      <w:pPr>
        <w:rPr>
          <w:rFonts w:asciiTheme="majorHAnsi" w:hAnsiTheme="majorHAnsi" w:cstheme="majorHAnsi"/>
        </w:rPr>
      </w:pPr>
      <w:r>
        <w:rPr>
          <w:rFonts w:asciiTheme="majorHAnsi" w:hAnsiTheme="majorHAnsi" w:cstheme="majorHAnsi"/>
        </w:rPr>
        <w:t xml:space="preserve">The County of Siskiyou (County) has requested that Housing Tools conduct a preliminary assessment of the Mountain Townhomes project to be developed by Danco (Project). The purpose of this assessment is to determine the feasibility and value of County participation in the Project. This participation may come in the form of funding and/or the delivery of behavioral health services. </w:t>
      </w:r>
    </w:p>
    <w:p w14:paraId="74192394" w14:textId="77777777" w:rsidR="00DD560E" w:rsidRDefault="00DD560E">
      <w:pPr>
        <w:rPr>
          <w:rFonts w:asciiTheme="majorHAnsi" w:hAnsiTheme="majorHAnsi" w:cstheme="majorHAnsi"/>
        </w:rPr>
      </w:pPr>
    </w:p>
    <w:p w14:paraId="0077AFA9" w14:textId="77777777" w:rsidR="00DD560E" w:rsidRDefault="00DD560E">
      <w:pPr>
        <w:rPr>
          <w:rFonts w:asciiTheme="majorHAnsi" w:hAnsiTheme="majorHAnsi" w:cstheme="majorHAnsi"/>
        </w:rPr>
      </w:pPr>
    </w:p>
    <w:p w14:paraId="65BACC74" w14:textId="0A39BC76" w:rsidR="00DD560E" w:rsidRDefault="00DD560E">
      <w:pPr>
        <w:rPr>
          <w:rFonts w:asciiTheme="minorHAnsi" w:hAnsiTheme="minorHAnsi" w:cstheme="minorHAnsi"/>
          <w:b/>
          <w:bCs/>
        </w:rPr>
      </w:pPr>
      <w:r w:rsidRPr="00DD560E">
        <w:rPr>
          <w:rFonts w:asciiTheme="minorHAnsi" w:hAnsiTheme="minorHAnsi" w:cstheme="minorHAnsi"/>
          <w:b/>
          <w:bCs/>
        </w:rPr>
        <w:t>Developer</w:t>
      </w:r>
    </w:p>
    <w:p w14:paraId="64AD622C" w14:textId="77777777" w:rsidR="00DD560E" w:rsidRDefault="00DD560E">
      <w:pPr>
        <w:rPr>
          <w:rFonts w:asciiTheme="majorHAnsi" w:hAnsiTheme="majorHAnsi" w:cstheme="majorHAnsi"/>
        </w:rPr>
      </w:pPr>
    </w:p>
    <w:p w14:paraId="6708AB1A" w14:textId="21FD5185" w:rsidR="00DD560E" w:rsidRDefault="00DD560E">
      <w:pPr>
        <w:rPr>
          <w:rFonts w:asciiTheme="majorHAnsi" w:hAnsiTheme="majorHAnsi" w:cstheme="majorHAnsi"/>
        </w:rPr>
      </w:pPr>
      <w:r>
        <w:rPr>
          <w:rFonts w:asciiTheme="majorHAnsi" w:hAnsiTheme="majorHAnsi" w:cstheme="majorHAnsi"/>
        </w:rPr>
        <w:t xml:space="preserve">Danco is a for-profit affordable housing developer with over 25 years of experience building, owning, and operating affordable rental housing. Most of their projects </w:t>
      </w:r>
      <w:proofErr w:type="gramStart"/>
      <w:r>
        <w:rPr>
          <w:rFonts w:asciiTheme="majorHAnsi" w:hAnsiTheme="majorHAnsi" w:cstheme="majorHAnsi"/>
        </w:rPr>
        <w:t>are located in</w:t>
      </w:r>
      <w:proofErr w:type="gramEnd"/>
      <w:r>
        <w:rPr>
          <w:rFonts w:asciiTheme="majorHAnsi" w:hAnsiTheme="majorHAnsi" w:cstheme="majorHAnsi"/>
        </w:rPr>
        <w:t xml:space="preserve"> the North State, but they have </w:t>
      </w:r>
      <w:r w:rsidR="00205933">
        <w:rPr>
          <w:rFonts w:asciiTheme="majorHAnsi" w:hAnsiTheme="majorHAnsi" w:cstheme="majorHAnsi"/>
        </w:rPr>
        <w:t xml:space="preserve">also </w:t>
      </w:r>
      <w:r>
        <w:rPr>
          <w:rFonts w:asciiTheme="majorHAnsi" w:hAnsiTheme="majorHAnsi" w:cstheme="majorHAnsi"/>
        </w:rPr>
        <w:t xml:space="preserve">built projects throughout California. </w:t>
      </w:r>
      <w:r w:rsidR="00047327">
        <w:rPr>
          <w:rFonts w:asciiTheme="majorHAnsi" w:hAnsiTheme="majorHAnsi" w:cstheme="majorHAnsi"/>
        </w:rPr>
        <w:t xml:space="preserve">Their portfolio includes 62 projects. </w:t>
      </w:r>
      <w:r>
        <w:rPr>
          <w:rFonts w:asciiTheme="majorHAnsi" w:hAnsiTheme="majorHAnsi" w:cstheme="majorHAnsi"/>
        </w:rPr>
        <w:t xml:space="preserve">Danco has developed 15 permanent supportive housing projects, many of which have been funded by the </w:t>
      </w:r>
      <w:proofErr w:type="spellStart"/>
      <w:r>
        <w:rPr>
          <w:rFonts w:asciiTheme="majorHAnsi" w:hAnsiTheme="majorHAnsi" w:cstheme="majorHAnsi"/>
        </w:rPr>
        <w:t>Homekey</w:t>
      </w:r>
      <w:proofErr w:type="spellEnd"/>
      <w:r>
        <w:rPr>
          <w:rFonts w:asciiTheme="majorHAnsi" w:hAnsiTheme="majorHAnsi" w:cstheme="majorHAnsi"/>
        </w:rPr>
        <w:t xml:space="preserve"> program. The firm has extensive experience with the </w:t>
      </w:r>
      <w:proofErr w:type="gramStart"/>
      <w:r>
        <w:rPr>
          <w:rFonts w:asciiTheme="majorHAnsi" w:hAnsiTheme="majorHAnsi" w:cstheme="majorHAnsi"/>
        </w:rPr>
        <w:t>Low Income</w:t>
      </w:r>
      <w:proofErr w:type="gramEnd"/>
      <w:r>
        <w:rPr>
          <w:rFonts w:asciiTheme="majorHAnsi" w:hAnsiTheme="majorHAnsi" w:cstheme="majorHAnsi"/>
        </w:rPr>
        <w:t xml:space="preserve"> Housing Tax Credit program, and a variety of State of California funding sources. Danco is based in Arcata</w:t>
      </w:r>
      <w:r w:rsidR="005026F8">
        <w:rPr>
          <w:rFonts w:asciiTheme="majorHAnsi" w:hAnsiTheme="majorHAnsi" w:cstheme="majorHAnsi"/>
        </w:rPr>
        <w:t>, California.</w:t>
      </w:r>
      <w:r>
        <w:rPr>
          <w:rFonts w:asciiTheme="majorHAnsi" w:hAnsiTheme="majorHAnsi" w:cstheme="majorHAnsi"/>
        </w:rPr>
        <w:t xml:space="preserve"> </w:t>
      </w:r>
    </w:p>
    <w:p w14:paraId="7CCB1990" w14:textId="77777777" w:rsidR="00047327" w:rsidRDefault="00047327">
      <w:pPr>
        <w:rPr>
          <w:rFonts w:asciiTheme="majorHAnsi" w:hAnsiTheme="majorHAnsi" w:cstheme="majorHAnsi"/>
        </w:rPr>
      </w:pPr>
    </w:p>
    <w:p w14:paraId="2E93A7AE" w14:textId="77777777" w:rsidR="00047327" w:rsidRDefault="00047327">
      <w:pPr>
        <w:rPr>
          <w:rFonts w:asciiTheme="majorHAnsi" w:hAnsiTheme="majorHAnsi" w:cstheme="majorHAnsi"/>
        </w:rPr>
      </w:pPr>
    </w:p>
    <w:p w14:paraId="6CE1D929" w14:textId="4F3FDF96" w:rsidR="00047327" w:rsidRDefault="00047327">
      <w:pPr>
        <w:rPr>
          <w:rFonts w:asciiTheme="minorHAnsi" w:hAnsiTheme="minorHAnsi" w:cstheme="minorHAnsi"/>
          <w:b/>
          <w:bCs/>
        </w:rPr>
      </w:pPr>
      <w:r w:rsidRPr="00047327">
        <w:rPr>
          <w:rFonts w:asciiTheme="minorHAnsi" w:hAnsiTheme="minorHAnsi" w:cstheme="minorHAnsi"/>
          <w:b/>
          <w:bCs/>
        </w:rPr>
        <w:t>Project Overview</w:t>
      </w:r>
    </w:p>
    <w:p w14:paraId="799D0D9D" w14:textId="77777777" w:rsidR="00047327" w:rsidRDefault="00047327">
      <w:pPr>
        <w:rPr>
          <w:rFonts w:asciiTheme="minorHAnsi" w:hAnsiTheme="minorHAnsi" w:cstheme="minorHAnsi"/>
          <w:b/>
          <w:bCs/>
        </w:rPr>
      </w:pPr>
    </w:p>
    <w:p w14:paraId="04110423" w14:textId="47B3198A" w:rsidR="00047327" w:rsidRDefault="00C164F4">
      <w:pPr>
        <w:rPr>
          <w:rFonts w:asciiTheme="majorHAnsi" w:hAnsiTheme="majorHAnsi" w:cstheme="majorHAnsi"/>
        </w:rPr>
      </w:pPr>
      <w:r>
        <w:rPr>
          <w:rFonts w:asciiTheme="majorHAnsi" w:hAnsiTheme="majorHAnsi" w:cstheme="majorHAnsi"/>
        </w:rPr>
        <w:t xml:space="preserve">Danco is proposing to develop an affordable housing project called Mountain Townhomes in Mount Shasta. The project will </w:t>
      </w:r>
      <w:r w:rsidR="00D56D6D">
        <w:rPr>
          <w:rFonts w:asciiTheme="majorHAnsi" w:hAnsiTheme="majorHAnsi" w:cstheme="majorHAnsi"/>
        </w:rPr>
        <w:t xml:space="preserve">be </w:t>
      </w:r>
      <w:proofErr w:type="gramStart"/>
      <w:r w:rsidR="00D56D6D">
        <w:rPr>
          <w:rFonts w:asciiTheme="majorHAnsi" w:hAnsiTheme="majorHAnsi" w:cstheme="majorHAnsi"/>
        </w:rPr>
        <w:t>new</w:t>
      </w:r>
      <w:proofErr w:type="gramEnd"/>
      <w:r w:rsidR="00D56D6D">
        <w:rPr>
          <w:rFonts w:asciiTheme="majorHAnsi" w:hAnsiTheme="majorHAnsi" w:cstheme="majorHAnsi"/>
        </w:rPr>
        <w:t xml:space="preserve"> construction and </w:t>
      </w:r>
      <w:r>
        <w:rPr>
          <w:rFonts w:asciiTheme="majorHAnsi" w:hAnsiTheme="majorHAnsi" w:cstheme="majorHAnsi"/>
        </w:rPr>
        <w:t xml:space="preserve">consist of 25 rental units, with one unit reserved for an on-site manager, for </w:t>
      </w:r>
      <w:proofErr w:type="gramStart"/>
      <w:r>
        <w:rPr>
          <w:rFonts w:asciiTheme="majorHAnsi" w:hAnsiTheme="majorHAnsi" w:cstheme="majorHAnsi"/>
        </w:rPr>
        <w:t>low income</w:t>
      </w:r>
      <w:proofErr w:type="gramEnd"/>
      <w:r>
        <w:rPr>
          <w:rFonts w:asciiTheme="majorHAnsi" w:hAnsiTheme="majorHAnsi" w:cstheme="majorHAnsi"/>
        </w:rPr>
        <w:t xml:space="preserve"> families on an infill property at the northwest part of downtown. </w:t>
      </w:r>
      <w:r w:rsidR="00920007">
        <w:rPr>
          <w:rFonts w:asciiTheme="majorHAnsi" w:hAnsiTheme="majorHAnsi" w:cstheme="majorHAnsi"/>
        </w:rPr>
        <w:t xml:space="preserve">The unit mix and target population </w:t>
      </w:r>
      <w:proofErr w:type="gramStart"/>
      <w:r w:rsidR="00920007">
        <w:rPr>
          <w:rFonts w:asciiTheme="majorHAnsi" w:hAnsiTheme="majorHAnsi" w:cstheme="majorHAnsi"/>
        </w:rPr>
        <w:t>is</w:t>
      </w:r>
      <w:proofErr w:type="gramEnd"/>
      <w:r w:rsidR="00920007">
        <w:rPr>
          <w:rFonts w:asciiTheme="majorHAnsi" w:hAnsiTheme="majorHAnsi" w:cstheme="majorHAnsi"/>
        </w:rPr>
        <w:t xml:space="preserve"> summarized in the table below.</w:t>
      </w:r>
      <w:r w:rsidR="00851E96">
        <w:rPr>
          <w:rFonts w:asciiTheme="majorHAnsi" w:hAnsiTheme="majorHAnsi" w:cstheme="majorHAnsi"/>
        </w:rPr>
        <w:t xml:space="preserve"> It will include </w:t>
      </w:r>
      <w:r w:rsidR="004B32C7">
        <w:rPr>
          <w:rFonts w:asciiTheme="majorHAnsi" w:hAnsiTheme="majorHAnsi" w:cstheme="majorHAnsi"/>
        </w:rPr>
        <w:t xml:space="preserve">at least </w:t>
      </w:r>
      <w:r w:rsidR="00851E96">
        <w:rPr>
          <w:rFonts w:asciiTheme="majorHAnsi" w:hAnsiTheme="majorHAnsi" w:cstheme="majorHAnsi"/>
        </w:rPr>
        <w:t xml:space="preserve">three </w:t>
      </w:r>
      <w:r w:rsidR="004B32C7">
        <w:rPr>
          <w:rFonts w:asciiTheme="majorHAnsi" w:hAnsiTheme="majorHAnsi" w:cstheme="majorHAnsi"/>
        </w:rPr>
        <w:t xml:space="preserve">and up to six </w:t>
      </w:r>
      <w:r w:rsidR="00851E96">
        <w:rPr>
          <w:rFonts w:asciiTheme="majorHAnsi" w:hAnsiTheme="majorHAnsi" w:cstheme="majorHAnsi"/>
        </w:rPr>
        <w:t>units targeting individuals and families experiencing chronic homelessness, as defined in Health &amp; Safety Code, Section 50675.14 and the HUD CoC NOFO.</w:t>
      </w:r>
    </w:p>
    <w:p w14:paraId="47839EC5" w14:textId="77777777" w:rsidR="00920007" w:rsidRDefault="00920007">
      <w:pPr>
        <w:rPr>
          <w:rFonts w:asciiTheme="majorHAnsi" w:hAnsiTheme="majorHAnsi" w:cstheme="majorHAnsi"/>
        </w:rPr>
      </w:pPr>
    </w:p>
    <w:p w14:paraId="5BC49F1B" w14:textId="77777777" w:rsidR="00920007" w:rsidRDefault="00920007">
      <w:pPr>
        <w:rPr>
          <w:rFonts w:asciiTheme="minorHAnsi" w:hAnsiTheme="minorHAnsi" w:cstheme="minorHAnsi"/>
          <w:b/>
          <w:bCs/>
          <w:sz w:val="20"/>
          <w:szCs w:val="20"/>
        </w:rPr>
      </w:pPr>
      <w:r>
        <w:rPr>
          <w:rFonts w:asciiTheme="minorHAnsi" w:hAnsiTheme="minorHAnsi" w:cstheme="minorHAnsi"/>
          <w:b/>
          <w:bCs/>
          <w:sz w:val="20"/>
          <w:szCs w:val="20"/>
        </w:rPr>
        <w:br w:type="page"/>
      </w:r>
    </w:p>
    <w:p w14:paraId="79022828" w14:textId="3B558B0F" w:rsidR="00920007" w:rsidRPr="00B430F4" w:rsidRDefault="00920007">
      <w:pPr>
        <w:rPr>
          <w:rFonts w:asciiTheme="minorHAnsi" w:hAnsiTheme="minorHAnsi" w:cstheme="minorHAnsi"/>
          <w:b/>
          <w:bCs/>
          <w:sz w:val="22"/>
          <w:szCs w:val="22"/>
        </w:rPr>
      </w:pPr>
      <w:r w:rsidRPr="00B430F4">
        <w:rPr>
          <w:rFonts w:asciiTheme="minorHAnsi" w:hAnsiTheme="minorHAnsi" w:cstheme="minorHAnsi"/>
          <w:b/>
          <w:bCs/>
          <w:sz w:val="22"/>
          <w:szCs w:val="22"/>
        </w:rPr>
        <w:lastRenderedPageBreak/>
        <w:t>Unit Mix</w:t>
      </w:r>
    </w:p>
    <w:p w14:paraId="79290D01" w14:textId="77777777" w:rsidR="00C164F4" w:rsidRDefault="00C164F4">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945"/>
        <w:gridCol w:w="1116"/>
        <w:gridCol w:w="1133"/>
        <w:gridCol w:w="1078"/>
        <w:gridCol w:w="1520"/>
        <w:gridCol w:w="3558"/>
      </w:tblGrid>
      <w:tr w:rsidR="006A7052" w14:paraId="14080407" w14:textId="77777777" w:rsidTr="00617813">
        <w:trPr>
          <w:trHeight w:val="692"/>
        </w:trPr>
        <w:tc>
          <w:tcPr>
            <w:tcW w:w="945" w:type="dxa"/>
            <w:vAlign w:val="center"/>
          </w:tcPr>
          <w:p w14:paraId="6A0FE9E0" w14:textId="4AAB60BA" w:rsidR="006A7052" w:rsidRPr="00920007" w:rsidRDefault="006A7052" w:rsidP="00920007">
            <w:pPr>
              <w:jc w:val="center"/>
              <w:rPr>
                <w:rFonts w:asciiTheme="minorHAnsi" w:hAnsiTheme="minorHAnsi" w:cstheme="minorHAnsi"/>
                <w:b/>
                <w:bCs/>
                <w:sz w:val="20"/>
                <w:szCs w:val="20"/>
              </w:rPr>
            </w:pPr>
            <w:r w:rsidRPr="00920007">
              <w:rPr>
                <w:rFonts w:asciiTheme="minorHAnsi" w:hAnsiTheme="minorHAnsi" w:cstheme="minorHAnsi"/>
                <w:b/>
                <w:bCs/>
                <w:sz w:val="20"/>
                <w:szCs w:val="20"/>
              </w:rPr>
              <w:t>No. of Units</w:t>
            </w:r>
          </w:p>
        </w:tc>
        <w:tc>
          <w:tcPr>
            <w:tcW w:w="1116" w:type="dxa"/>
            <w:vAlign w:val="center"/>
          </w:tcPr>
          <w:p w14:paraId="7F8C33A7" w14:textId="68EF406A" w:rsidR="006A7052" w:rsidRPr="00920007" w:rsidRDefault="006A7052" w:rsidP="00920007">
            <w:pPr>
              <w:jc w:val="center"/>
              <w:rPr>
                <w:rFonts w:asciiTheme="minorHAnsi" w:hAnsiTheme="minorHAnsi" w:cstheme="minorHAnsi"/>
                <w:b/>
                <w:bCs/>
                <w:sz w:val="20"/>
                <w:szCs w:val="20"/>
              </w:rPr>
            </w:pPr>
            <w:r>
              <w:rPr>
                <w:rFonts w:asciiTheme="minorHAnsi" w:hAnsiTheme="minorHAnsi" w:cstheme="minorHAnsi"/>
                <w:b/>
                <w:bCs/>
                <w:sz w:val="20"/>
                <w:szCs w:val="20"/>
              </w:rPr>
              <w:t>Bedrooms</w:t>
            </w:r>
          </w:p>
        </w:tc>
        <w:tc>
          <w:tcPr>
            <w:tcW w:w="1133" w:type="dxa"/>
            <w:vAlign w:val="center"/>
          </w:tcPr>
          <w:p w14:paraId="00576F50" w14:textId="1C7AF0C8" w:rsidR="006A7052" w:rsidRPr="00920007" w:rsidRDefault="006A7052" w:rsidP="006A7052">
            <w:pPr>
              <w:jc w:val="center"/>
              <w:rPr>
                <w:rFonts w:asciiTheme="minorHAnsi" w:hAnsiTheme="minorHAnsi" w:cstheme="minorHAnsi"/>
                <w:b/>
                <w:bCs/>
                <w:sz w:val="20"/>
                <w:szCs w:val="20"/>
              </w:rPr>
            </w:pPr>
            <w:r>
              <w:rPr>
                <w:rFonts w:asciiTheme="minorHAnsi" w:hAnsiTheme="minorHAnsi" w:cstheme="minorHAnsi"/>
                <w:b/>
                <w:bCs/>
                <w:sz w:val="20"/>
                <w:szCs w:val="20"/>
              </w:rPr>
              <w:t>Bathrooms</w:t>
            </w:r>
          </w:p>
        </w:tc>
        <w:tc>
          <w:tcPr>
            <w:tcW w:w="1078" w:type="dxa"/>
            <w:vAlign w:val="center"/>
          </w:tcPr>
          <w:p w14:paraId="4EE8896A" w14:textId="1B254868" w:rsidR="006A7052" w:rsidRPr="00920007" w:rsidRDefault="006A7052" w:rsidP="00920007">
            <w:pPr>
              <w:jc w:val="center"/>
              <w:rPr>
                <w:rFonts w:asciiTheme="minorHAnsi" w:hAnsiTheme="minorHAnsi" w:cstheme="minorHAnsi"/>
                <w:b/>
                <w:bCs/>
                <w:sz w:val="20"/>
                <w:szCs w:val="20"/>
              </w:rPr>
            </w:pPr>
            <w:r w:rsidRPr="00920007">
              <w:rPr>
                <w:rFonts w:asciiTheme="minorHAnsi" w:hAnsiTheme="minorHAnsi" w:cstheme="minorHAnsi"/>
                <w:b/>
                <w:bCs/>
                <w:sz w:val="20"/>
                <w:szCs w:val="20"/>
              </w:rPr>
              <w:t>% of AMI</w:t>
            </w:r>
          </w:p>
        </w:tc>
        <w:tc>
          <w:tcPr>
            <w:tcW w:w="1520" w:type="dxa"/>
            <w:vAlign w:val="center"/>
          </w:tcPr>
          <w:p w14:paraId="781D8D7E" w14:textId="75B107A9" w:rsidR="006A7052" w:rsidRPr="00920007" w:rsidRDefault="006A7052" w:rsidP="006A7052">
            <w:pPr>
              <w:jc w:val="center"/>
              <w:rPr>
                <w:rFonts w:asciiTheme="minorHAnsi" w:hAnsiTheme="minorHAnsi" w:cstheme="minorHAnsi"/>
                <w:b/>
                <w:bCs/>
                <w:sz w:val="20"/>
                <w:szCs w:val="20"/>
              </w:rPr>
            </w:pPr>
            <w:r>
              <w:rPr>
                <w:rFonts w:asciiTheme="minorHAnsi" w:hAnsiTheme="minorHAnsi" w:cstheme="minorHAnsi"/>
                <w:b/>
                <w:bCs/>
                <w:sz w:val="20"/>
                <w:szCs w:val="20"/>
              </w:rPr>
              <w:t xml:space="preserve">Monthly </w:t>
            </w:r>
            <w:r w:rsidR="00617813">
              <w:rPr>
                <w:rFonts w:asciiTheme="minorHAnsi" w:hAnsiTheme="minorHAnsi" w:cstheme="minorHAnsi"/>
                <w:b/>
                <w:bCs/>
                <w:sz w:val="20"/>
                <w:szCs w:val="20"/>
              </w:rPr>
              <w:t xml:space="preserve">Net </w:t>
            </w:r>
            <w:r>
              <w:rPr>
                <w:rFonts w:asciiTheme="minorHAnsi" w:hAnsiTheme="minorHAnsi" w:cstheme="minorHAnsi"/>
                <w:b/>
                <w:bCs/>
                <w:sz w:val="20"/>
                <w:szCs w:val="20"/>
              </w:rPr>
              <w:t>Rent</w:t>
            </w:r>
          </w:p>
        </w:tc>
        <w:tc>
          <w:tcPr>
            <w:tcW w:w="3558" w:type="dxa"/>
            <w:vAlign w:val="center"/>
          </w:tcPr>
          <w:p w14:paraId="49EC9474" w14:textId="7DFD43C3" w:rsidR="006A7052" w:rsidRPr="00920007" w:rsidRDefault="006A7052" w:rsidP="00920007">
            <w:pPr>
              <w:jc w:val="center"/>
              <w:rPr>
                <w:rFonts w:asciiTheme="minorHAnsi" w:hAnsiTheme="minorHAnsi" w:cstheme="minorHAnsi"/>
                <w:b/>
                <w:bCs/>
                <w:sz w:val="20"/>
                <w:szCs w:val="20"/>
              </w:rPr>
            </w:pPr>
            <w:r w:rsidRPr="00920007">
              <w:rPr>
                <w:rFonts w:asciiTheme="minorHAnsi" w:hAnsiTheme="minorHAnsi" w:cstheme="minorHAnsi"/>
                <w:b/>
                <w:bCs/>
                <w:sz w:val="20"/>
                <w:szCs w:val="20"/>
              </w:rPr>
              <w:t>Target Population</w:t>
            </w:r>
          </w:p>
        </w:tc>
      </w:tr>
      <w:tr w:rsidR="006A7052" w14:paraId="18615FF9" w14:textId="77777777" w:rsidTr="00617813">
        <w:trPr>
          <w:trHeight w:val="638"/>
        </w:trPr>
        <w:tc>
          <w:tcPr>
            <w:tcW w:w="945" w:type="dxa"/>
            <w:vAlign w:val="center"/>
          </w:tcPr>
          <w:p w14:paraId="128F4AE0" w14:textId="640C71B6" w:rsidR="006A7052" w:rsidRDefault="00D9277F" w:rsidP="00920007">
            <w:pPr>
              <w:jc w:val="center"/>
              <w:rPr>
                <w:rFonts w:asciiTheme="minorHAnsi" w:hAnsiTheme="minorHAnsi" w:cstheme="minorHAnsi"/>
                <w:sz w:val="20"/>
                <w:szCs w:val="20"/>
              </w:rPr>
            </w:pPr>
            <w:r>
              <w:rPr>
                <w:rFonts w:asciiTheme="minorHAnsi" w:hAnsiTheme="minorHAnsi" w:cstheme="minorHAnsi"/>
                <w:sz w:val="20"/>
                <w:szCs w:val="20"/>
              </w:rPr>
              <w:t>1</w:t>
            </w:r>
          </w:p>
        </w:tc>
        <w:tc>
          <w:tcPr>
            <w:tcW w:w="1116" w:type="dxa"/>
            <w:vAlign w:val="center"/>
          </w:tcPr>
          <w:p w14:paraId="1E382E0C" w14:textId="296F0E28" w:rsidR="006A7052" w:rsidRDefault="006A7052" w:rsidP="00920007">
            <w:pPr>
              <w:jc w:val="center"/>
              <w:rPr>
                <w:rFonts w:asciiTheme="minorHAnsi" w:hAnsiTheme="minorHAnsi" w:cstheme="minorHAnsi"/>
                <w:sz w:val="20"/>
                <w:szCs w:val="20"/>
              </w:rPr>
            </w:pPr>
            <w:r>
              <w:rPr>
                <w:rFonts w:asciiTheme="minorHAnsi" w:hAnsiTheme="minorHAnsi" w:cstheme="minorHAnsi"/>
                <w:sz w:val="20"/>
                <w:szCs w:val="20"/>
              </w:rPr>
              <w:t>1</w:t>
            </w:r>
          </w:p>
        </w:tc>
        <w:tc>
          <w:tcPr>
            <w:tcW w:w="1133" w:type="dxa"/>
            <w:vAlign w:val="center"/>
          </w:tcPr>
          <w:p w14:paraId="4031728A" w14:textId="247EE588" w:rsidR="006A7052" w:rsidRDefault="006A7052" w:rsidP="006A7052">
            <w:pPr>
              <w:jc w:val="center"/>
              <w:rPr>
                <w:rFonts w:asciiTheme="minorHAnsi" w:hAnsiTheme="minorHAnsi" w:cstheme="minorHAnsi"/>
                <w:sz w:val="20"/>
                <w:szCs w:val="20"/>
              </w:rPr>
            </w:pPr>
            <w:r>
              <w:rPr>
                <w:rFonts w:asciiTheme="minorHAnsi" w:hAnsiTheme="minorHAnsi" w:cstheme="minorHAnsi"/>
                <w:sz w:val="20"/>
                <w:szCs w:val="20"/>
              </w:rPr>
              <w:t>1</w:t>
            </w:r>
          </w:p>
        </w:tc>
        <w:tc>
          <w:tcPr>
            <w:tcW w:w="1078" w:type="dxa"/>
            <w:vAlign w:val="center"/>
          </w:tcPr>
          <w:p w14:paraId="1DA7B58B" w14:textId="35560603" w:rsidR="006A7052" w:rsidRDefault="006A7052" w:rsidP="00920007">
            <w:pPr>
              <w:jc w:val="center"/>
              <w:rPr>
                <w:rFonts w:asciiTheme="minorHAnsi" w:hAnsiTheme="minorHAnsi" w:cstheme="minorHAnsi"/>
                <w:sz w:val="20"/>
                <w:szCs w:val="20"/>
              </w:rPr>
            </w:pPr>
            <w:r>
              <w:rPr>
                <w:rFonts w:asciiTheme="minorHAnsi" w:hAnsiTheme="minorHAnsi" w:cstheme="minorHAnsi"/>
                <w:sz w:val="20"/>
                <w:szCs w:val="20"/>
              </w:rPr>
              <w:t>30%</w:t>
            </w:r>
          </w:p>
        </w:tc>
        <w:tc>
          <w:tcPr>
            <w:tcW w:w="1520" w:type="dxa"/>
            <w:vAlign w:val="center"/>
          </w:tcPr>
          <w:p w14:paraId="0240942D" w14:textId="5AB1BAC0" w:rsidR="006A7052" w:rsidRDefault="006A7052" w:rsidP="006A7052">
            <w:pPr>
              <w:jc w:val="center"/>
              <w:rPr>
                <w:rFonts w:asciiTheme="minorHAnsi" w:hAnsiTheme="minorHAnsi" w:cstheme="minorHAnsi"/>
                <w:sz w:val="20"/>
                <w:szCs w:val="20"/>
              </w:rPr>
            </w:pPr>
            <w:r>
              <w:rPr>
                <w:rFonts w:asciiTheme="minorHAnsi" w:hAnsiTheme="minorHAnsi" w:cstheme="minorHAnsi"/>
                <w:sz w:val="20"/>
                <w:szCs w:val="20"/>
              </w:rPr>
              <w:t>$</w:t>
            </w:r>
            <w:r w:rsidR="00D9277F">
              <w:rPr>
                <w:rFonts w:asciiTheme="minorHAnsi" w:hAnsiTheme="minorHAnsi" w:cstheme="minorHAnsi"/>
                <w:sz w:val="20"/>
                <w:szCs w:val="20"/>
              </w:rPr>
              <w:t>464</w:t>
            </w:r>
          </w:p>
        </w:tc>
        <w:tc>
          <w:tcPr>
            <w:tcW w:w="3558" w:type="dxa"/>
            <w:vAlign w:val="center"/>
          </w:tcPr>
          <w:p w14:paraId="45EC6166" w14:textId="60931485" w:rsidR="006A7052" w:rsidRDefault="00F33697" w:rsidP="00920007">
            <w:pPr>
              <w:jc w:val="center"/>
              <w:rPr>
                <w:rFonts w:asciiTheme="minorHAnsi" w:hAnsiTheme="minorHAnsi" w:cstheme="minorHAnsi"/>
                <w:sz w:val="20"/>
                <w:szCs w:val="20"/>
              </w:rPr>
            </w:pPr>
            <w:r>
              <w:rPr>
                <w:rFonts w:asciiTheme="minorHAnsi" w:hAnsiTheme="minorHAnsi" w:cstheme="minorHAnsi"/>
                <w:sz w:val="20"/>
                <w:szCs w:val="20"/>
              </w:rPr>
              <w:t>Individuals and families experiencing chronic homelessness (HSC 50675.14)</w:t>
            </w:r>
          </w:p>
        </w:tc>
      </w:tr>
      <w:tr w:rsidR="00D9277F" w14:paraId="1A1C2A8A" w14:textId="77777777" w:rsidTr="00617813">
        <w:trPr>
          <w:trHeight w:val="360"/>
        </w:trPr>
        <w:tc>
          <w:tcPr>
            <w:tcW w:w="945" w:type="dxa"/>
            <w:vAlign w:val="center"/>
          </w:tcPr>
          <w:p w14:paraId="035F4AD5" w14:textId="4598AA0D"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w:t>
            </w:r>
          </w:p>
        </w:tc>
        <w:tc>
          <w:tcPr>
            <w:tcW w:w="1116" w:type="dxa"/>
            <w:vAlign w:val="center"/>
          </w:tcPr>
          <w:p w14:paraId="79C68EA3" w14:textId="0CC09E3A"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w:t>
            </w:r>
          </w:p>
        </w:tc>
        <w:tc>
          <w:tcPr>
            <w:tcW w:w="1133" w:type="dxa"/>
            <w:vAlign w:val="center"/>
          </w:tcPr>
          <w:p w14:paraId="515B0B6F" w14:textId="5482C0F4"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w:t>
            </w:r>
          </w:p>
        </w:tc>
        <w:tc>
          <w:tcPr>
            <w:tcW w:w="1078" w:type="dxa"/>
            <w:vAlign w:val="center"/>
          </w:tcPr>
          <w:p w14:paraId="2CD283B5" w14:textId="06347662"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50%</w:t>
            </w:r>
          </w:p>
        </w:tc>
        <w:tc>
          <w:tcPr>
            <w:tcW w:w="1520" w:type="dxa"/>
            <w:vAlign w:val="center"/>
          </w:tcPr>
          <w:p w14:paraId="23137D30" w14:textId="62FD4128"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$773</w:t>
            </w:r>
          </w:p>
        </w:tc>
        <w:tc>
          <w:tcPr>
            <w:tcW w:w="3558" w:type="dxa"/>
            <w:vAlign w:val="center"/>
          </w:tcPr>
          <w:p w14:paraId="3DB66A63" w14:textId="0420FDEB"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 xml:space="preserve">Very </w:t>
            </w:r>
            <w:proofErr w:type="gramStart"/>
            <w:r>
              <w:rPr>
                <w:rFonts w:asciiTheme="minorHAnsi" w:hAnsiTheme="minorHAnsi" w:cstheme="minorHAnsi"/>
                <w:sz w:val="20"/>
                <w:szCs w:val="20"/>
              </w:rPr>
              <w:t>Low Income</w:t>
            </w:r>
            <w:proofErr w:type="gramEnd"/>
            <w:r>
              <w:rPr>
                <w:rFonts w:asciiTheme="minorHAnsi" w:hAnsiTheme="minorHAnsi" w:cstheme="minorHAnsi"/>
                <w:sz w:val="20"/>
                <w:szCs w:val="20"/>
              </w:rPr>
              <w:t xml:space="preserve"> Families</w:t>
            </w:r>
          </w:p>
        </w:tc>
      </w:tr>
      <w:tr w:rsidR="00D9277F" w14:paraId="744D35C3" w14:textId="77777777" w:rsidTr="00E77AF7">
        <w:trPr>
          <w:trHeight w:val="593"/>
        </w:trPr>
        <w:tc>
          <w:tcPr>
            <w:tcW w:w="945" w:type="dxa"/>
            <w:vAlign w:val="center"/>
          </w:tcPr>
          <w:p w14:paraId="6AAB85BB" w14:textId="739F41E6"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116" w:type="dxa"/>
            <w:vAlign w:val="center"/>
          </w:tcPr>
          <w:p w14:paraId="51365291" w14:textId="12E6095E"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133" w:type="dxa"/>
            <w:vAlign w:val="center"/>
          </w:tcPr>
          <w:p w14:paraId="655B5B27" w14:textId="1E022388"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w:t>
            </w:r>
          </w:p>
        </w:tc>
        <w:tc>
          <w:tcPr>
            <w:tcW w:w="1078" w:type="dxa"/>
            <w:vAlign w:val="center"/>
          </w:tcPr>
          <w:p w14:paraId="23299307" w14:textId="4403EB01"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30%</w:t>
            </w:r>
          </w:p>
        </w:tc>
        <w:tc>
          <w:tcPr>
            <w:tcW w:w="1520" w:type="dxa"/>
            <w:vAlign w:val="center"/>
          </w:tcPr>
          <w:p w14:paraId="3481743B" w14:textId="0B203B54"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$557</w:t>
            </w:r>
          </w:p>
        </w:tc>
        <w:tc>
          <w:tcPr>
            <w:tcW w:w="3558" w:type="dxa"/>
            <w:vAlign w:val="center"/>
          </w:tcPr>
          <w:p w14:paraId="0CFA2AEB" w14:textId="5452D74A" w:rsidR="00D9277F" w:rsidRDefault="00BF0072" w:rsidP="00D9277F">
            <w:pPr>
              <w:jc w:val="center"/>
              <w:rPr>
                <w:rFonts w:asciiTheme="minorHAnsi" w:hAnsiTheme="minorHAnsi" w:cstheme="minorHAnsi"/>
                <w:sz w:val="20"/>
                <w:szCs w:val="20"/>
              </w:rPr>
            </w:pPr>
            <w:r>
              <w:rPr>
                <w:rFonts w:asciiTheme="minorHAnsi" w:hAnsiTheme="minorHAnsi" w:cstheme="minorHAnsi"/>
                <w:sz w:val="20"/>
                <w:szCs w:val="20"/>
              </w:rPr>
              <w:t>Individuals and families experiencing chronic homelessness (HSC 50675.14)</w:t>
            </w:r>
          </w:p>
        </w:tc>
      </w:tr>
      <w:tr w:rsidR="00D9277F" w14:paraId="31CFE331" w14:textId="77777777" w:rsidTr="00617813">
        <w:trPr>
          <w:trHeight w:val="360"/>
        </w:trPr>
        <w:tc>
          <w:tcPr>
            <w:tcW w:w="945" w:type="dxa"/>
            <w:vAlign w:val="center"/>
          </w:tcPr>
          <w:p w14:paraId="5114631D" w14:textId="5F084B68"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116" w:type="dxa"/>
            <w:vAlign w:val="center"/>
          </w:tcPr>
          <w:p w14:paraId="162B3152" w14:textId="225B8FFF"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133" w:type="dxa"/>
            <w:vAlign w:val="center"/>
          </w:tcPr>
          <w:p w14:paraId="28CD5A9C" w14:textId="2033EA07"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1.5</w:t>
            </w:r>
          </w:p>
        </w:tc>
        <w:tc>
          <w:tcPr>
            <w:tcW w:w="1078" w:type="dxa"/>
            <w:vAlign w:val="center"/>
          </w:tcPr>
          <w:p w14:paraId="030BC1AA" w14:textId="7CC4E68B"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40%</w:t>
            </w:r>
          </w:p>
        </w:tc>
        <w:tc>
          <w:tcPr>
            <w:tcW w:w="1520" w:type="dxa"/>
            <w:vAlign w:val="center"/>
          </w:tcPr>
          <w:p w14:paraId="7F2DE8A2" w14:textId="7C34C184"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$743</w:t>
            </w:r>
          </w:p>
        </w:tc>
        <w:tc>
          <w:tcPr>
            <w:tcW w:w="3558" w:type="dxa"/>
            <w:vAlign w:val="center"/>
          </w:tcPr>
          <w:p w14:paraId="75113FF7" w14:textId="4BDACE16"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 xml:space="preserve">Very </w:t>
            </w:r>
            <w:proofErr w:type="gramStart"/>
            <w:r>
              <w:rPr>
                <w:rFonts w:asciiTheme="minorHAnsi" w:hAnsiTheme="minorHAnsi" w:cstheme="minorHAnsi"/>
                <w:sz w:val="20"/>
                <w:szCs w:val="20"/>
              </w:rPr>
              <w:t>Low Income</w:t>
            </w:r>
            <w:proofErr w:type="gramEnd"/>
            <w:r>
              <w:rPr>
                <w:rFonts w:asciiTheme="minorHAnsi" w:hAnsiTheme="minorHAnsi" w:cstheme="minorHAnsi"/>
                <w:sz w:val="20"/>
                <w:szCs w:val="20"/>
              </w:rPr>
              <w:t xml:space="preserve"> Families</w:t>
            </w:r>
          </w:p>
        </w:tc>
      </w:tr>
      <w:tr w:rsidR="00D9277F" w14:paraId="0DDC3AE6" w14:textId="77777777" w:rsidTr="00617813">
        <w:trPr>
          <w:trHeight w:val="360"/>
        </w:trPr>
        <w:tc>
          <w:tcPr>
            <w:tcW w:w="945" w:type="dxa"/>
            <w:vAlign w:val="center"/>
          </w:tcPr>
          <w:p w14:paraId="1C175D87" w14:textId="61F6D75A"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7</w:t>
            </w:r>
          </w:p>
        </w:tc>
        <w:tc>
          <w:tcPr>
            <w:tcW w:w="1116" w:type="dxa"/>
            <w:vAlign w:val="center"/>
          </w:tcPr>
          <w:p w14:paraId="476BCFCC" w14:textId="30B43614"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133" w:type="dxa"/>
            <w:vAlign w:val="center"/>
          </w:tcPr>
          <w:p w14:paraId="1DD06619" w14:textId="6AC5A378"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1.5</w:t>
            </w:r>
          </w:p>
        </w:tc>
        <w:tc>
          <w:tcPr>
            <w:tcW w:w="1078" w:type="dxa"/>
            <w:vAlign w:val="center"/>
          </w:tcPr>
          <w:p w14:paraId="0E0F9117" w14:textId="6919CCBD"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50%</w:t>
            </w:r>
          </w:p>
        </w:tc>
        <w:tc>
          <w:tcPr>
            <w:tcW w:w="1520" w:type="dxa"/>
            <w:vAlign w:val="center"/>
          </w:tcPr>
          <w:p w14:paraId="546EC0C0" w14:textId="56A714BA"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$928</w:t>
            </w:r>
          </w:p>
        </w:tc>
        <w:tc>
          <w:tcPr>
            <w:tcW w:w="3558" w:type="dxa"/>
            <w:vAlign w:val="center"/>
          </w:tcPr>
          <w:p w14:paraId="063DD9E1" w14:textId="1EC91ECE"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 xml:space="preserve">Very </w:t>
            </w:r>
            <w:proofErr w:type="gramStart"/>
            <w:r>
              <w:rPr>
                <w:rFonts w:asciiTheme="minorHAnsi" w:hAnsiTheme="minorHAnsi" w:cstheme="minorHAnsi"/>
                <w:sz w:val="20"/>
                <w:szCs w:val="20"/>
              </w:rPr>
              <w:t>Low Income</w:t>
            </w:r>
            <w:proofErr w:type="gramEnd"/>
            <w:r>
              <w:rPr>
                <w:rFonts w:asciiTheme="minorHAnsi" w:hAnsiTheme="minorHAnsi" w:cstheme="minorHAnsi"/>
                <w:sz w:val="20"/>
                <w:szCs w:val="20"/>
              </w:rPr>
              <w:t xml:space="preserve"> Families</w:t>
            </w:r>
          </w:p>
        </w:tc>
      </w:tr>
      <w:tr w:rsidR="00D9277F" w14:paraId="3D2BBB74" w14:textId="77777777" w:rsidTr="00617813">
        <w:trPr>
          <w:trHeight w:val="360"/>
        </w:trPr>
        <w:tc>
          <w:tcPr>
            <w:tcW w:w="945" w:type="dxa"/>
            <w:vAlign w:val="center"/>
          </w:tcPr>
          <w:p w14:paraId="7F0AED1B" w14:textId="6D1A4546"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116" w:type="dxa"/>
            <w:vAlign w:val="center"/>
          </w:tcPr>
          <w:p w14:paraId="613732A5" w14:textId="693E38C6"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133" w:type="dxa"/>
            <w:vAlign w:val="center"/>
          </w:tcPr>
          <w:p w14:paraId="42095C30" w14:textId="4EB358E1"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1.5</w:t>
            </w:r>
          </w:p>
        </w:tc>
        <w:tc>
          <w:tcPr>
            <w:tcW w:w="1078" w:type="dxa"/>
            <w:vAlign w:val="center"/>
          </w:tcPr>
          <w:p w14:paraId="1D9EDE4D" w14:textId="5EE99516"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60%</w:t>
            </w:r>
          </w:p>
        </w:tc>
        <w:tc>
          <w:tcPr>
            <w:tcW w:w="1520" w:type="dxa"/>
            <w:vAlign w:val="center"/>
          </w:tcPr>
          <w:p w14:paraId="7690CA04" w14:textId="703D5648" w:rsidR="00D9277F" w:rsidRDefault="00D9277F" w:rsidP="00D9277F">
            <w:pPr>
              <w:jc w:val="center"/>
              <w:rPr>
                <w:rFonts w:asciiTheme="minorHAnsi" w:hAnsiTheme="minorHAnsi" w:cstheme="minorHAnsi"/>
                <w:sz w:val="20"/>
                <w:szCs w:val="20"/>
              </w:rPr>
            </w:pPr>
            <w:r w:rsidRPr="001925B9">
              <w:rPr>
                <w:rFonts w:asciiTheme="minorHAnsi" w:hAnsiTheme="minorHAnsi" w:cstheme="minorHAnsi"/>
                <w:sz w:val="20"/>
                <w:szCs w:val="20"/>
              </w:rPr>
              <w:t>$</w:t>
            </w:r>
            <w:r>
              <w:rPr>
                <w:rFonts w:asciiTheme="minorHAnsi" w:hAnsiTheme="minorHAnsi" w:cstheme="minorHAnsi"/>
                <w:sz w:val="20"/>
                <w:szCs w:val="20"/>
              </w:rPr>
              <w:t>1,114</w:t>
            </w:r>
          </w:p>
        </w:tc>
        <w:tc>
          <w:tcPr>
            <w:tcW w:w="3558" w:type="dxa"/>
            <w:vAlign w:val="center"/>
          </w:tcPr>
          <w:p w14:paraId="72C2FB33" w14:textId="603A3DC3"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Low Income Families</w:t>
            </w:r>
          </w:p>
        </w:tc>
      </w:tr>
      <w:tr w:rsidR="00D9277F" w14:paraId="2B827A24" w14:textId="77777777" w:rsidTr="00617813">
        <w:trPr>
          <w:trHeight w:val="360"/>
        </w:trPr>
        <w:tc>
          <w:tcPr>
            <w:tcW w:w="945" w:type="dxa"/>
            <w:vAlign w:val="center"/>
          </w:tcPr>
          <w:p w14:paraId="0F4B8DF8" w14:textId="50B2DAC0"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w:t>
            </w:r>
          </w:p>
        </w:tc>
        <w:tc>
          <w:tcPr>
            <w:tcW w:w="1116" w:type="dxa"/>
            <w:vAlign w:val="center"/>
          </w:tcPr>
          <w:p w14:paraId="60921B4A" w14:textId="410AF10A"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3</w:t>
            </w:r>
          </w:p>
        </w:tc>
        <w:tc>
          <w:tcPr>
            <w:tcW w:w="1133" w:type="dxa"/>
            <w:vAlign w:val="center"/>
          </w:tcPr>
          <w:p w14:paraId="4EB74DF3" w14:textId="5BCDE1AD"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078" w:type="dxa"/>
            <w:vAlign w:val="center"/>
          </w:tcPr>
          <w:p w14:paraId="57741E9E" w14:textId="7C226631"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30%</w:t>
            </w:r>
          </w:p>
        </w:tc>
        <w:tc>
          <w:tcPr>
            <w:tcW w:w="1520" w:type="dxa"/>
            <w:vAlign w:val="center"/>
          </w:tcPr>
          <w:p w14:paraId="2352F399" w14:textId="5054242C"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$643</w:t>
            </w:r>
          </w:p>
        </w:tc>
        <w:tc>
          <w:tcPr>
            <w:tcW w:w="3558" w:type="dxa"/>
            <w:vAlign w:val="center"/>
          </w:tcPr>
          <w:p w14:paraId="1CC7793A" w14:textId="24AF8DF8"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 xml:space="preserve">Very </w:t>
            </w:r>
            <w:proofErr w:type="gramStart"/>
            <w:r>
              <w:rPr>
                <w:rFonts w:asciiTheme="minorHAnsi" w:hAnsiTheme="minorHAnsi" w:cstheme="minorHAnsi"/>
                <w:sz w:val="20"/>
                <w:szCs w:val="20"/>
              </w:rPr>
              <w:t>Low Income</w:t>
            </w:r>
            <w:proofErr w:type="gramEnd"/>
            <w:r>
              <w:rPr>
                <w:rFonts w:asciiTheme="minorHAnsi" w:hAnsiTheme="minorHAnsi" w:cstheme="minorHAnsi"/>
                <w:sz w:val="20"/>
                <w:szCs w:val="20"/>
              </w:rPr>
              <w:t xml:space="preserve"> Families</w:t>
            </w:r>
          </w:p>
        </w:tc>
      </w:tr>
      <w:tr w:rsidR="00D9277F" w14:paraId="527D650F" w14:textId="77777777" w:rsidTr="00617813">
        <w:trPr>
          <w:trHeight w:val="360"/>
        </w:trPr>
        <w:tc>
          <w:tcPr>
            <w:tcW w:w="945" w:type="dxa"/>
            <w:vAlign w:val="center"/>
          </w:tcPr>
          <w:p w14:paraId="47915450" w14:textId="198196E6"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w:t>
            </w:r>
          </w:p>
        </w:tc>
        <w:tc>
          <w:tcPr>
            <w:tcW w:w="1116" w:type="dxa"/>
            <w:vAlign w:val="center"/>
          </w:tcPr>
          <w:p w14:paraId="2D5C5EF3" w14:textId="72E4E910"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3</w:t>
            </w:r>
          </w:p>
        </w:tc>
        <w:tc>
          <w:tcPr>
            <w:tcW w:w="1133" w:type="dxa"/>
            <w:vAlign w:val="center"/>
          </w:tcPr>
          <w:p w14:paraId="639699C1" w14:textId="52CE1175"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078" w:type="dxa"/>
            <w:vAlign w:val="center"/>
          </w:tcPr>
          <w:p w14:paraId="4BB35A9B" w14:textId="69364F8C"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40%</w:t>
            </w:r>
          </w:p>
        </w:tc>
        <w:tc>
          <w:tcPr>
            <w:tcW w:w="1520" w:type="dxa"/>
            <w:vAlign w:val="center"/>
          </w:tcPr>
          <w:p w14:paraId="0A179A79" w14:textId="2BF91051"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$858</w:t>
            </w:r>
          </w:p>
        </w:tc>
        <w:tc>
          <w:tcPr>
            <w:tcW w:w="3558" w:type="dxa"/>
            <w:vAlign w:val="center"/>
          </w:tcPr>
          <w:p w14:paraId="3AA7CD57" w14:textId="7DE6215B"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 xml:space="preserve">Very </w:t>
            </w:r>
            <w:proofErr w:type="gramStart"/>
            <w:r>
              <w:rPr>
                <w:rFonts w:asciiTheme="minorHAnsi" w:hAnsiTheme="minorHAnsi" w:cstheme="minorHAnsi"/>
                <w:sz w:val="20"/>
                <w:szCs w:val="20"/>
              </w:rPr>
              <w:t>Low Income</w:t>
            </w:r>
            <w:proofErr w:type="gramEnd"/>
            <w:r>
              <w:rPr>
                <w:rFonts w:asciiTheme="minorHAnsi" w:hAnsiTheme="minorHAnsi" w:cstheme="minorHAnsi"/>
                <w:sz w:val="20"/>
                <w:szCs w:val="20"/>
              </w:rPr>
              <w:t xml:space="preserve"> Families</w:t>
            </w:r>
          </w:p>
        </w:tc>
      </w:tr>
      <w:tr w:rsidR="00D9277F" w14:paraId="0E4E0A2F" w14:textId="77777777" w:rsidTr="00617813">
        <w:trPr>
          <w:trHeight w:val="360"/>
        </w:trPr>
        <w:tc>
          <w:tcPr>
            <w:tcW w:w="945" w:type="dxa"/>
            <w:vAlign w:val="center"/>
          </w:tcPr>
          <w:p w14:paraId="47948946" w14:textId="1C707725"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5</w:t>
            </w:r>
          </w:p>
        </w:tc>
        <w:tc>
          <w:tcPr>
            <w:tcW w:w="1116" w:type="dxa"/>
            <w:vAlign w:val="center"/>
          </w:tcPr>
          <w:p w14:paraId="2863263C" w14:textId="4F63997B"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3</w:t>
            </w:r>
          </w:p>
        </w:tc>
        <w:tc>
          <w:tcPr>
            <w:tcW w:w="1133" w:type="dxa"/>
            <w:vAlign w:val="center"/>
          </w:tcPr>
          <w:p w14:paraId="370AEF11" w14:textId="3B03EE02"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078" w:type="dxa"/>
            <w:vAlign w:val="center"/>
          </w:tcPr>
          <w:p w14:paraId="7294B381" w14:textId="23957089"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50%</w:t>
            </w:r>
          </w:p>
        </w:tc>
        <w:tc>
          <w:tcPr>
            <w:tcW w:w="1520" w:type="dxa"/>
            <w:vAlign w:val="center"/>
          </w:tcPr>
          <w:p w14:paraId="4B33BBF3" w14:textId="06C3A584"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$1,072</w:t>
            </w:r>
          </w:p>
        </w:tc>
        <w:tc>
          <w:tcPr>
            <w:tcW w:w="3558" w:type="dxa"/>
            <w:vAlign w:val="center"/>
          </w:tcPr>
          <w:p w14:paraId="4DB75BEA" w14:textId="009A9E18"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 xml:space="preserve">Very </w:t>
            </w:r>
            <w:proofErr w:type="gramStart"/>
            <w:r>
              <w:rPr>
                <w:rFonts w:asciiTheme="minorHAnsi" w:hAnsiTheme="minorHAnsi" w:cstheme="minorHAnsi"/>
                <w:sz w:val="20"/>
                <w:szCs w:val="20"/>
              </w:rPr>
              <w:t>Low Income</w:t>
            </w:r>
            <w:proofErr w:type="gramEnd"/>
            <w:r>
              <w:rPr>
                <w:rFonts w:asciiTheme="minorHAnsi" w:hAnsiTheme="minorHAnsi" w:cstheme="minorHAnsi"/>
                <w:sz w:val="20"/>
                <w:szCs w:val="20"/>
              </w:rPr>
              <w:t xml:space="preserve"> Families</w:t>
            </w:r>
          </w:p>
        </w:tc>
      </w:tr>
      <w:tr w:rsidR="00D9277F" w14:paraId="0B3A7392" w14:textId="77777777" w:rsidTr="00617813">
        <w:trPr>
          <w:trHeight w:val="360"/>
        </w:trPr>
        <w:tc>
          <w:tcPr>
            <w:tcW w:w="945" w:type="dxa"/>
            <w:vAlign w:val="center"/>
          </w:tcPr>
          <w:p w14:paraId="0EA990B5" w14:textId="5C706DA5"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116" w:type="dxa"/>
            <w:vAlign w:val="center"/>
          </w:tcPr>
          <w:p w14:paraId="1A212914" w14:textId="2FE66908"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3</w:t>
            </w:r>
          </w:p>
        </w:tc>
        <w:tc>
          <w:tcPr>
            <w:tcW w:w="1133" w:type="dxa"/>
            <w:vAlign w:val="center"/>
          </w:tcPr>
          <w:p w14:paraId="541CDCC3" w14:textId="35582BD4"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078" w:type="dxa"/>
            <w:vAlign w:val="center"/>
          </w:tcPr>
          <w:p w14:paraId="05319606" w14:textId="39823AF7"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60%</w:t>
            </w:r>
          </w:p>
        </w:tc>
        <w:tc>
          <w:tcPr>
            <w:tcW w:w="1520" w:type="dxa"/>
            <w:vAlign w:val="center"/>
          </w:tcPr>
          <w:p w14:paraId="0D06BFB9" w14:textId="55788113"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$1,287</w:t>
            </w:r>
          </w:p>
        </w:tc>
        <w:tc>
          <w:tcPr>
            <w:tcW w:w="3558" w:type="dxa"/>
            <w:vAlign w:val="center"/>
          </w:tcPr>
          <w:p w14:paraId="5A5508AB" w14:textId="08D632AC"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Low Income Families</w:t>
            </w:r>
          </w:p>
        </w:tc>
      </w:tr>
      <w:tr w:rsidR="00D9277F" w14:paraId="75DC3FFA" w14:textId="77777777" w:rsidTr="00617813">
        <w:trPr>
          <w:trHeight w:val="360"/>
        </w:trPr>
        <w:tc>
          <w:tcPr>
            <w:tcW w:w="945" w:type="dxa"/>
            <w:tcBorders>
              <w:bottom w:val="single" w:sz="8" w:space="0" w:color="auto"/>
            </w:tcBorders>
            <w:vAlign w:val="center"/>
          </w:tcPr>
          <w:p w14:paraId="62E96F4F" w14:textId="735C3A56"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1</w:t>
            </w:r>
          </w:p>
        </w:tc>
        <w:tc>
          <w:tcPr>
            <w:tcW w:w="1116" w:type="dxa"/>
            <w:tcBorders>
              <w:bottom w:val="single" w:sz="8" w:space="0" w:color="auto"/>
            </w:tcBorders>
            <w:vAlign w:val="center"/>
          </w:tcPr>
          <w:p w14:paraId="3060196B" w14:textId="2593F17A"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3</w:t>
            </w:r>
          </w:p>
        </w:tc>
        <w:tc>
          <w:tcPr>
            <w:tcW w:w="1133" w:type="dxa"/>
            <w:tcBorders>
              <w:bottom w:val="single" w:sz="8" w:space="0" w:color="auto"/>
            </w:tcBorders>
            <w:vAlign w:val="center"/>
          </w:tcPr>
          <w:p w14:paraId="364F9DF3" w14:textId="37A3AC50"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w:t>
            </w:r>
          </w:p>
        </w:tc>
        <w:tc>
          <w:tcPr>
            <w:tcW w:w="1078" w:type="dxa"/>
            <w:tcBorders>
              <w:bottom w:val="single" w:sz="8" w:space="0" w:color="auto"/>
            </w:tcBorders>
            <w:vAlign w:val="center"/>
          </w:tcPr>
          <w:p w14:paraId="521AFE4C" w14:textId="724E062B"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Manager</w:t>
            </w:r>
          </w:p>
        </w:tc>
        <w:tc>
          <w:tcPr>
            <w:tcW w:w="1520" w:type="dxa"/>
            <w:tcBorders>
              <w:bottom w:val="single" w:sz="8" w:space="0" w:color="auto"/>
            </w:tcBorders>
            <w:vAlign w:val="center"/>
          </w:tcPr>
          <w:p w14:paraId="2DC5EE6A" w14:textId="77777777" w:rsidR="00D9277F" w:rsidRDefault="00D9277F" w:rsidP="00D9277F">
            <w:pPr>
              <w:jc w:val="center"/>
              <w:rPr>
                <w:rFonts w:asciiTheme="minorHAnsi" w:hAnsiTheme="minorHAnsi" w:cstheme="minorHAnsi"/>
                <w:sz w:val="20"/>
                <w:szCs w:val="20"/>
              </w:rPr>
            </w:pPr>
          </w:p>
        </w:tc>
        <w:tc>
          <w:tcPr>
            <w:tcW w:w="3558" w:type="dxa"/>
            <w:tcBorders>
              <w:bottom w:val="single" w:sz="8" w:space="0" w:color="auto"/>
            </w:tcBorders>
            <w:vAlign w:val="center"/>
          </w:tcPr>
          <w:p w14:paraId="709A9893" w14:textId="56F5C651" w:rsidR="00D9277F" w:rsidRDefault="00D9277F" w:rsidP="00D9277F">
            <w:pPr>
              <w:jc w:val="center"/>
              <w:rPr>
                <w:rFonts w:asciiTheme="minorHAnsi" w:hAnsiTheme="minorHAnsi" w:cstheme="minorHAnsi"/>
                <w:sz w:val="20"/>
                <w:szCs w:val="20"/>
              </w:rPr>
            </w:pPr>
          </w:p>
        </w:tc>
      </w:tr>
      <w:tr w:rsidR="00D9277F" w14:paraId="7489CF65" w14:textId="77777777" w:rsidTr="00617813">
        <w:trPr>
          <w:trHeight w:val="360"/>
        </w:trPr>
        <w:tc>
          <w:tcPr>
            <w:tcW w:w="945" w:type="dxa"/>
            <w:tcBorders>
              <w:top w:val="single" w:sz="8" w:space="0" w:color="auto"/>
            </w:tcBorders>
            <w:vAlign w:val="center"/>
          </w:tcPr>
          <w:p w14:paraId="7BB0214B" w14:textId="50C4C093" w:rsidR="00D9277F" w:rsidRDefault="00D9277F" w:rsidP="00D9277F">
            <w:pPr>
              <w:jc w:val="center"/>
              <w:rPr>
                <w:rFonts w:asciiTheme="minorHAnsi" w:hAnsiTheme="minorHAnsi" w:cstheme="minorHAnsi"/>
                <w:sz w:val="20"/>
                <w:szCs w:val="20"/>
              </w:rPr>
            </w:pPr>
            <w:r>
              <w:rPr>
                <w:rFonts w:asciiTheme="minorHAnsi" w:hAnsiTheme="minorHAnsi" w:cstheme="minorHAnsi"/>
                <w:sz w:val="20"/>
                <w:szCs w:val="20"/>
              </w:rPr>
              <w:t>25</w:t>
            </w:r>
          </w:p>
        </w:tc>
        <w:tc>
          <w:tcPr>
            <w:tcW w:w="1116" w:type="dxa"/>
            <w:tcBorders>
              <w:top w:val="single" w:sz="8" w:space="0" w:color="auto"/>
            </w:tcBorders>
            <w:vAlign w:val="center"/>
          </w:tcPr>
          <w:p w14:paraId="2EFA2339" w14:textId="77777777" w:rsidR="00D9277F" w:rsidRDefault="00D9277F" w:rsidP="00D9277F">
            <w:pPr>
              <w:jc w:val="center"/>
              <w:rPr>
                <w:rFonts w:asciiTheme="minorHAnsi" w:hAnsiTheme="minorHAnsi" w:cstheme="minorHAnsi"/>
                <w:sz w:val="20"/>
                <w:szCs w:val="20"/>
              </w:rPr>
            </w:pPr>
          </w:p>
        </w:tc>
        <w:tc>
          <w:tcPr>
            <w:tcW w:w="1133" w:type="dxa"/>
            <w:tcBorders>
              <w:top w:val="single" w:sz="8" w:space="0" w:color="auto"/>
            </w:tcBorders>
            <w:vAlign w:val="center"/>
          </w:tcPr>
          <w:p w14:paraId="5BE47946" w14:textId="77777777" w:rsidR="00D9277F" w:rsidRDefault="00D9277F" w:rsidP="00D9277F">
            <w:pPr>
              <w:jc w:val="center"/>
              <w:rPr>
                <w:rFonts w:asciiTheme="minorHAnsi" w:hAnsiTheme="minorHAnsi" w:cstheme="minorHAnsi"/>
                <w:sz w:val="20"/>
                <w:szCs w:val="20"/>
              </w:rPr>
            </w:pPr>
          </w:p>
        </w:tc>
        <w:tc>
          <w:tcPr>
            <w:tcW w:w="1078" w:type="dxa"/>
            <w:tcBorders>
              <w:top w:val="single" w:sz="8" w:space="0" w:color="auto"/>
            </w:tcBorders>
            <w:vAlign w:val="center"/>
          </w:tcPr>
          <w:p w14:paraId="46FEFDEF" w14:textId="276B568F" w:rsidR="00D9277F" w:rsidRDefault="00D9277F" w:rsidP="00D9277F">
            <w:pPr>
              <w:jc w:val="center"/>
              <w:rPr>
                <w:rFonts w:asciiTheme="minorHAnsi" w:hAnsiTheme="minorHAnsi" w:cstheme="minorHAnsi"/>
                <w:sz w:val="20"/>
                <w:szCs w:val="20"/>
              </w:rPr>
            </w:pPr>
          </w:p>
        </w:tc>
        <w:tc>
          <w:tcPr>
            <w:tcW w:w="1520" w:type="dxa"/>
            <w:tcBorders>
              <w:top w:val="single" w:sz="8" w:space="0" w:color="auto"/>
            </w:tcBorders>
            <w:vAlign w:val="center"/>
          </w:tcPr>
          <w:p w14:paraId="5834D8AC" w14:textId="77777777" w:rsidR="00D9277F" w:rsidRDefault="00D9277F" w:rsidP="00D9277F">
            <w:pPr>
              <w:jc w:val="center"/>
              <w:rPr>
                <w:rFonts w:asciiTheme="minorHAnsi" w:hAnsiTheme="minorHAnsi" w:cstheme="minorHAnsi"/>
                <w:sz w:val="20"/>
                <w:szCs w:val="20"/>
              </w:rPr>
            </w:pPr>
          </w:p>
        </w:tc>
        <w:tc>
          <w:tcPr>
            <w:tcW w:w="3558" w:type="dxa"/>
            <w:tcBorders>
              <w:top w:val="single" w:sz="8" w:space="0" w:color="auto"/>
            </w:tcBorders>
            <w:vAlign w:val="center"/>
          </w:tcPr>
          <w:p w14:paraId="3F6082E1" w14:textId="1D581BF2" w:rsidR="00D9277F" w:rsidRDefault="00D9277F" w:rsidP="00D9277F">
            <w:pPr>
              <w:jc w:val="center"/>
              <w:rPr>
                <w:rFonts w:asciiTheme="minorHAnsi" w:hAnsiTheme="minorHAnsi" w:cstheme="minorHAnsi"/>
                <w:sz w:val="20"/>
                <w:szCs w:val="20"/>
              </w:rPr>
            </w:pPr>
          </w:p>
        </w:tc>
      </w:tr>
    </w:tbl>
    <w:p w14:paraId="77FAFA68" w14:textId="084C3348" w:rsidR="00920007" w:rsidRPr="00920007" w:rsidRDefault="00BF0072">
      <w:pPr>
        <w:rPr>
          <w:rFonts w:asciiTheme="minorHAnsi" w:hAnsiTheme="minorHAnsi" w:cstheme="minorHAnsi"/>
          <w:sz w:val="20"/>
          <w:szCs w:val="20"/>
        </w:rPr>
      </w:pPr>
      <w:r>
        <w:rPr>
          <w:rFonts w:asciiTheme="minorHAnsi" w:hAnsiTheme="minorHAnsi" w:cstheme="minorHAnsi"/>
          <w:sz w:val="20"/>
          <w:szCs w:val="20"/>
        </w:rPr>
        <w:t xml:space="preserve">Note: Rents are those </w:t>
      </w:r>
      <w:proofErr w:type="gramStart"/>
      <w:r>
        <w:rPr>
          <w:rFonts w:asciiTheme="minorHAnsi" w:hAnsiTheme="minorHAnsi" w:cstheme="minorHAnsi"/>
          <w:sz w:val="20"/>
          <w:szCs w:val="20"/>
        </w:rPr>
        <w:t>included</w:t>
      </w:r>
      <w:proofErr w:type="gramEnd"/>
      <w:r>
        <w:rPr>
          <w:rFonts w:asciiTheme="minorHAnsi" w:hAnsiTheme="minorHAnsi" w:cstheme="minorHAnsi"/>
          <w:sz w:val="20"/>
          <w:szCs w:val="20"/>
        </w:rPr>
        <w:t xml:space="preserve"> Danco’s financial projections provided on 1/25/24, not the market study completed in April 2023.</w:t>
      </w:r>
    </w:p>
    <w:p w14:paraId="3630AD48" w14:textId="77777777" w:rsidR="00920007" w:rsidRDefault="00920007">
      <w:pPr>
        <w:rPr>
          <w:rFonts w:asciiTheme="majorHAnsi" w:hAnsiTheme="majorHAnsi" w:cstheme="majorHAnsi"/>
        </w:rPr>
      </w:pPr>
    </w:p>
    <w:p w14:paraId="7B40B805" w14:textId="3A509B25" w:rsidR="00047327" w:rsidRDefault="00047327">
      <w:pPr>
        <w:rPr>
          <w:rFonts w:asciiTheme="minorHAnsi" w:hAnsiTheme="minorHAnsi" w:cstheme="minorHAnsi"/>
          <w:b/>
          <w:bCs/>
        </w:rPr>
      </w:pPr>
      <w:r w:rsidRPr="00047327">
        <w:rPr>
          <w:rFonts w:asciiTheme="minorHAnsi" w:hAnsiTheme="minorHAnsi" w:cstheme="minorHAnsi"/>
          <w:b/>
          <w:bCs/>
        </w:rPr>
        <w:t>Site</w:t>
      </w:r>
    </w:p>
    <w:p w14:paraId="1C43826B" w14:textId="77777777" w:rsidR="00047327" w:rsidRDefault="00047327">
      <w:pPr>
        <w:rPr>
          <w:rFonts w:asciiTheme="minorHAnsi" w:hAnsiTheme="minorHAnsi" w:cstheme="minorHAnsi"/>
          <w:b/>
          <w:bCs/>
        </w:rPr>
      </w:pPr>
    </w:p>
    <w:p w14:paraId="3F36BCF4" w14:textId="16FAB472" w:rsidR="00047327" w:rsidRDefault="00047327">
      <w:pPr>
        <w:rPr>
          <w:rFonts w:asciiTheme="majorHAnsi" w:hAnsiTheme="majorHAnsi" w:cstheme="majorHAnsi"/>
        </w:rPr>
      </w:pPr>
      <w:r>
        <w:rPr>
          <w:rFonts w:asciiTheme="majorHAnsi" w:hAnsiTheme="majorHAnsi" w:cstheme="majorHAnsi"/>
        </w:rPr>
        <w:t>Danco has entered into a purchase agreement with a private party to purchase a property located at 735 Chestnut Street</w:t>
      </w:r>
      <w:r w:rsidR="001C31D7">
        <w:rPr>
          <w:rFonts w:asciiTheme="majorHAnsi" w:hAnsiTheme="majorHAnsi" w:cstheme="majorHAnsi"/>
        </w:rPr>
        <w:t xml:space="preserve"> in Mount Shasta</w:t>
      </w:r>
      <w:r>
        <w:rPr>
          <w:rFonts w:asciiTheme="majorHAnsi" w:hAnsiTheme="majorHAnsi" w:cstheme="majorHAnsi"/>
        </w:rPr>
        <w:t xml:space="preserve"> for $695,000. </w:t>
      </w:r>
      <w:r w:rsidRPr="001C0D6B">
        <w:rPr>
          <w:rFonts w:asciiTheme="majorHAnsi" w:hAnsiTheme="majorHAnsi" w:cstheme="majorHAnsi"/>
        </w:rPr>
        <w:t xml:space="preserve">The purchase agreement was initially executed on August 18, </w:t>
      </w:r>
      <w:proofErr w:type="gramStart"/>
      <w:r w:rsidRPr="001C0D6B">
        <w:rPr>
          <w:rFonts w:asciiTheme="majorHAnsi" w:hAnsiTheme="majorHAnsi" w:cstheme="majorHAnsi"/>
        </w:rPr>
        <w:t>2021</w:t>
      </w:r>
      <w:proofErr w:type="gramEnd"/>
      <w:r w:rsidRPr="001C0D6B">
        <w:rPr>
          <w:rFonts w:asciiTheme="majorHAnsi" w:hAnsiTheme="majorHAnsi" w:cstheme="majorHAnsi"/>
        </w:rPr>
        <w:t xml:space="preserve"> with a one-year term until close of escrow and a six-month extension option. Addendum No. 2 states that the purchase price will be $430,000 per </w:t>
      </w:r>
      <w:proofErr w:type="gramStart"/>
      <w:r w:rsidRPr="001C0D6B">
        <w:rPr>
          <w:rFonts w:asciiTheme="majorHAnsi" w:hAnsiTheme="majorHAnsi" w:cstheme="majorHAnsi"/>
        </w:rPr>
        <w:t>the appraisal</w:t>
      </w:r>
      <w:proofErr w:type="gramEnd"/>
      <w:r w:rsidR="00776916" w:rsidRPr="001C0D6B">
        <w:rPr>
          <w:rFonts w:asciiTheme="majorHAnsi" w:hAnsiTheme="majorHAnsi" w:cstheme="majorHAnsi"/>
        </w:rPr>
        <w:t xml:space="preserve"> and that the Buyer (Danco) will reimburse the Seller $265,000 in design and engineering costs at close of escrow.</w:t>
      </w:r>
      <w:r w:rsidR="00776916">
        <w:rPr>
          <w:rFonts w:asciiTheme="majorHAnsi" w:hAnsiTheme="majorHAnsi" w:cstheme="majorHAnsi"/>
        </w:rPr>
        <w:t xml:space="preserve"> The agreement was amended three additional times to extend the escrow close date to December 31, </w:t>
      </w:r>
      <w:proofErr w:type="gramStart"/>
      <w:r w:rsidR="00776916">
        <w:rPr>
          <w:rFonts w:asciiTheme="majorHAnsi" w:hAnsiTheme="majorHAnsi" w:cstheme="majorHAnsi"/>
        </w:rPr>
        <w:t>2024</w:t>
      </w:r>
      <w:proofErr w:type="gramEnd"/>
      <w:r w:rsidR="00776916">
        <w:rPr>
          <w:rFonts w:asciiTheme="majorHAnsi" w:hAnsiTheme="majorHAnsi" w:cstheme="majorHAnsi"/>
        </w:rPr>
        <w:t xml:space="preserve"> upon non-refundable deposits into escrow by the Buyer. </w:t>
      </w:r>
    </w:p>
    <w:p w14:paraId="3D9CC272" w14:textId="77777777" w:rsidR="001C31D7" w:rsidRDefault="001C31D7">
      <w:pPr>
        <w:rPr>
          <w:rFonts w:asciiTheme="majorHAnsi" w:hAnsiTheme="majorHAnsi" w:cstheme="majorHAnsi"/>
        </w:rPr>
      </w:pPr>
    </w:p>
    <w:p w14:paraId="3D3231A5" w14:textId="14C72574" w:rsidR="001C31D7" w:rsidRDefault="001C31D7">
      <w:pPr>
        <w:rPr>
          <w:rFonts w:asciiTheme="majorHAnsi" w:hAnsiTheme="majorHAnsi" w:cstheme="majorHAnsi"/>
        </w:rPr>
      </w:pPr>
      <w:r>
        <w:rPr>
          <w:rFonts w:asciiTheme="majorHAnsi" w:hAnsiTheme="majorHAnsi" w:cstheme="majorHAnsi"/>
        </w:rPr>
        <w:t xml:space="preserve">Per an appraisal dated August 30, 2021, the subject property at 735 Chestnut Street, Mount Shasta was valued at $430,000. </w:t>
      </w:r>
      <w:r w:rsidR="00BE2BE6">
        <w:rPr>
          <w:rFonts w:asciiTheme="majorHAnsi" w:hAnsiTheme="majorHAnsi" w:cstheme="majorHAnsi"/>
        </w:rPr>
        <w:t xml:space="preserve">The site is identified as APN 057-112-010-000 and is 1.15 </w:t>
      </w:r>
      <w:r w:rsidR="000E16D4">
        <w:rPr>
          <w:rFonts w:asciiTheme="majorHAnsi" w:hAnsiTheme="majorHAnsi" w:cstheme="majorHAnsi"/>
        </w:rPr>
        <w:t xml:space="preserve">net </w:t>
      </w:r>
      <w:r w:rsidR="00BE2BE6">
        <w:rPr>
          <w:rFonts w:asciiTheme="majorHAnsi" w:hAnsiTheme="majorHAnsi" w:cstheme="majorHAnsi"/>
        </w:rPr>
        <w:t>acres in size</w:t>
      </w:r>
      <w:r w:rsidR="006F50FC">
        <w:rPr>
          <w:rFonts w:asciiTheme="majorHAnsi" w:hAnsiTheme="majorHAnsi" w:cstheme="majorHAnsi"/>
        </w:rPr>
        <w:t xml:space="preserve"> </w:t>
      </w:r>
      <w:r w:rsidR="000E16D4">
        <w:rPr>
          <w:rFonts w:asciiTheme="majorHAnsi" w:hAnsiTheme="majorHAnsi" w:cstheme="majorHAnsi"/>
        </w:rPr>
        <w:t xml:space="preserve">(1.26 gross acres for planning permit) </w:t>
      </w:r>
      <w:r w:rsidR="006F50FC">
        <w:rPr>
          <w:rFonts w:asciiTheme="majorHAnsi" w:hAnsiTheme="majorHAnsi" w:cstheme="majorHAnsi"/>
        </w:rPr>
        <w:t>and rectangular in shape with frontage along Chestnut Street to the southwest and along East Ivy Street to the southeast</w:t>
      </w:r>
      <w:r w:rsidR="00BE2BE6">
        <w:rPr>
          <w:rFonts w:asciiTheme="majorHAnsi" w:hAnsiTheme="majorHAnsi" w:cstheme="majorHAnsi"/>
        </w:rPr>
        <w:t xml:space="preserve">. </w:t>
      </w:r>
      <w:r w:rsidR="00D3026E">
        <w:rPr>
          <w:rFonts w:asciiTheme="majorHAnsi" w:hAnsiTheme="majorHAnsi" w:cstheme="majorHAnsi"/>
        </w:rPr>
        <w:t>It is vacant and vegetated with a mix of trees</w:t>
      </w:r>
      <w:r w:rsidR="006F50FC">
        <w:rPr>
          <w:rFonts w:asciiTheme="majorHAnsi" w:hAnsiTheme="majorHAnsi" w:cstheme="majorHAnsi"/>
        </w:rPr>
        <w:t xml:space="preserve"> and </w:t>
      </w:r>
      <w:r w:rsidR="00D3026E">
        <w:rPr>
          <w:rFonts w:asciiTheme="majorHAnsi" w:hAnsiTheme="majorHAnsi" w:cstheme="majorHAnsi"/>
        </w:rPr>
        <w:t>bushes</w:t>
      </w:r>
      <w:r w:rsidR="006F50FC">
        <w:rPr>
          <w:rFonts w:asciiTheme="majorHAnsi" w:hAnsiTheme="majorHAnsi" w:cstheme="majorHAnsi"/>
        </w:rPr>
        <w:t xml:space="preserve"> on the northwest end and mostly dirt and grasses on the southeast end</w:t>
      </w:r>
      <w:r w:rsidR="00D3026E">
        <w:rPr>
          <w:rFonts w:asciiTheme="majorHAnsi" w:hAnsiTheme="majorHAnsi" w:cstheme="majorHAnsi"/>
        </w:rPr>
        <w:t xml:space="preserve">. It </w:t>
      </w:r>
      <w:proofErr w:type="gramStart"/>
      <w:r w:rsidR="00D3026E">
        <w:rPr>
          <w:rFonts w:asciiTheme="majorHAnsi" w:hAnsiTheme="majorHAnsi" w:cstheme="majorHAnsi"/>
        </w:rPr>
        <w:t>is located in</w:t>
      </w:r>
      <w:proofErr w:type="gramEnd"/>
      <w:r w:rsidR="00D3026E">
        <w:rPr>
          <w:rFonts w:asciiTheme="majorHAnsi" w:hAnsiTheme="majorHAnsi" w:cstheme="majorHAnsi"/>
        </w:rPr>
        <w:t xml:space="preserve"> a mixed-use neighborhood on Chestnut Street</w:t>
      </w:r>
      <w:r w:rsidR="0058254A">
        <w:rPr>
          <w:rFonts w:asciiTheme="majorHAnsi" w:hAnsiTheme="majorHAnsi" w:cstheme="majorHAnsi"/>
        </w:rPr>
        <w:t>,</w:t>
      </w:r>
      <w:r w:rsidR="00D3026E">
        <w:rPr>
          <w:rFonts w:asciiTheme="majorHAnsi" w:hAnsiTheme="majorHAnsi" w:cstheme="majorHAnsi"/>
        </w:rPr>
        <w:t xml:space="preserve"> </w:t>
      </w:r>
      <w:r w:rsidR="0058254A">
        <w:rPr>
          <w:rFonts w:asciiTheme="majorHAnsi" w:hAnsiTheme="majorHAnsi" w:cstheme="majorHAnsi"/>
        </w:rPr>
        <w:t>northeast of the intersection of Chestnut Street and East Ivy Street, and one block from</w:t>
      </w:r>
      <w:r w:rsidR="00D3026E">
        <w:rPr>
          <w:rFonts w:asciiTheme="majorHAnsi" w:hAnsiTheme="majorHAnsi" w:cstheme="majorHAnsi"/>
        </w:rPr>
        <w:t xml:space="preserve"> North Mt Shasta Boulevard.</w:t>
      </w:r>
      <w:r w:rsidR="00722F4C">
        <w:rPr>
          <w:rFonts w:asciiTheme="majorHAnsi" w:hAnsiTheme="majorHAnsi" w:cstheme="majorHAnsi"/>
        </w:rPr>
        <w:t xml:space="preserve"> Adjacent uses include </w:t>
      </w:r>
      <w:r w:rsidR="0058254A">
        <w:rPr>
          <w:rFonts w:asciiTheme="majorHAnsi" w:hAnsiTheme="majorHAnsi" w:cstheme="majorHAnsi"/>
        </w:rPr>
        <w:t xml:space="preserve">a vacant lot and </w:t>
      </w:r>
      <w:r w:rsidR="00722F4C">
        <w:rPr>
          <w:rFonts w:asciiTheme="majorHAnsi" w:hAnsiTheme="majorHAnsi" w:cstheme="majorHAnsi"/>
        </w:rPr>
        <w:t xml:space="preserve">the Cold Creek Inn to the west, </w:t>
      </w:r>
      <w:r w:rsidR="0058254A">
        <w:rPr>
          <w:rFonts w:asciiTheme="majorHAnsi" w:hAnsiTheme="majorHAnsi" w:cstheme="majorHAnsi"/>
        </w:rPr>
        <w:t>commercial uses</w:t>
      </w:r>
      <w:r w:rsidR="00722F4C">
        <w:rPr>
          <w:rFonts w:asciiTheme="majorHAnsi" w:hAnsiTheme="majorHAnsi" w:cstheme="majorHAnsi"/>
        </w:rPr>
        <w:t xml:space="preserve"> to the northwest, vacant land to the north</w:t>
      </w:r>
      <w:r w:rsidR="0058254A">
        <w:rPr>
          <w:rFonts w:asciiTheme="majorHAnsi" w:hAnsiTheme="majorHAnsi" w:cstheme="majorHAnsi"/>
        </w:rPr>
        <w:t xml:space="preserve"> and northeast</w:t>
      </w:r>
      <w:r w:rsidR="00722F4C">
        <w:rPr>
          <w:rFonts w:asciiTheme="majorHAnsi" w:hAnsiTheme="majorHAnsi" w:cstheme="majorHAnsi"/>
        </w:rPr>
        <w:t xml:space="preserve">, and a mix of residences and </w:t>
      </w:r>
      <w:r w:rsidR="00722F4C">
        <w:rPr>
          <w:rFonts w:asciiTheme="majorHAnsi" w:hAnsiTheme="majorHAnsi" w:cstheme="majorHAnsi"/>
        </w:rPr>
        <w:lastRenderedPageBreak/>
        <w:t xml:space="preserve">businesses to the </w:t>
      </w:r>
      <w:r w:rsidR="0058254A">
        <w:rPr>
          <w:rFonts w:asciiTheme="majorHAnsi" w:hAnsiTheme="majorHAnsi" w:cstheme="majorHAnsi"/>
        </w:rPr>
        <w:t xml:space="preserve">southeast, </w:t>
      </w:r>
      <w:r w:rsidR="00722F4C">
        <w:rPr>
          <w:rFonts w:asciiTheme="majorHAnsi" w:hAnsiTheme="majorHAnsi" w:cstheme="majorHAnsi"/>
        </w:rPr>
        <w:t>south</w:t>
      </w:r>
      <w:r w:rsidR="0058254A">
        <w:rPr>
          <w:rFonts w:asciiTheme="majorHAnsi" w:hAnsiTheme="majorHAnsi" w:cstheme="majorHAnsi"/>
        </w:rPr>
        <w:t>, and southwest</w:t>
      </w:r>
      <w:r w:rsidR="00722F4C">
        <w:rPr>
          <w:rFonts w:asciiTheme="majorHAnsi" w:hAnsiTheme="majorHAnsi" w:cstheme="majorHAnsi"/>
        </w:rPr>
        <w:t xml:space="preserve">. The railroad runs along the southwest side of North Mt Shasta Boulevard. </w:t>
      </w:r>
      <w:r w:rsidR="00D3026E">
        <w:rPr>
          <w:rFonts w:asciiTheme="majorHAnsi" w:hAnsiTheme="majorHAnsi" w:cstheme="majorHAnsi"/>
        </w:rPr>
        <w:t xml:space="preserve">A STAGE bus stop </w:t>
      </w:r>
      <w:r w:rsidR="008805AE">
        <w:rPr>
          <w:rFonts w:asciiTheme="majorHAnsi" w:hAnsiTheme="majorHAnsi" w:cstheme="majorHAnsi"/>
        </w:rPr>
        <w:t xml:space="preserve">served by Routes 2 and 3 </w:t>
      </w:r>
      <w:r w:rsidR="00D3026E">
        <w:rPr>
          <w:rFonts w:asciiTheme="majorHAnsi" w:hAnsiTheme="majorHAnsi" w:cstheme="majorHAnsi"/>
        </w:rPr>
        <w:t xml:space="preserve">is </w:t>
      </w:r>
      <w:r w:rsidR="00303D47">
        <w:rPr>
          <w:rFonts w:asciiTheme="majorHAnsi" w:hAnsiTheme="majorHAnsi" w:cstheme="majorHAnsi"/>
        </w:rPr>
        <w:t>one block away</w:t>
      </w:r>
      <w:r w:rsidR="00D3026E">
        <w:rPr>
          <w:rFonts w:asciiTheme="majorHAnsi" w:hAnsiTheme="majorHAnsi" w:cstheme="majorHAnsi"/>
        </w:rPr>
        <w:t xml:space="preserve"> at the intersection of East Ivy Street and North Mt Shasta Boulevard. Mount Shasta Super Market, Mercy Medical Center, Mt. Shasta Library, Banner Bank, CVS, Mt. Shasta Elementary School, the Police Station, and Post Office are all located within a half-mile of the site.</w:t>
      </w:r>
    </w:p>
    <w:p w14:paraId="1F16D6A2" w14:textId="77777777" w:rsidR="000F666B" w:rsidRDefault="000F666B">
      <w:pPr>
        <w:rPr>
          <w:rFonts w:asciiTheme="majorHAnsi" w:hAnsiTheme="majorHAnsi" w:cstheme="majorHAnsi"/>
        </w:rPr>
      </w:pPr>
    </w:p>
    <w:p w14:paraId="6323051A" w14:textId="77777777" w:rsidR="000F666B" w:rsidRDefault="000F666B">
      <w:pPr>
        <w:rPr>
          <w:rFonts w:asciiTheme="majorHAnsi" w:hAnsiTheme="majorHAnsi" w:cstheme="majorHAnsi"/>
        </w:rPr>
      </w:pPr>
    </w:p>
    <w:p w14:paraId="382374F0" w14:textId="255BB31A" w:rsidR="00722F4C" w:rsidRDefault="00722F4C">
      <w:pPr>
        <w:rPr>
          <w:rFonts w:asciiTheme="minorHAnsi" w:hAnsiTheme="minorHAnsi" w:cstheme="minorHAnsi"/>
          <w:b/>
          <w:bCs/>
        </w:rPr>
      </w:pPr>
      <w:r w:rsidRPr="00722F4C">
        <w:rPr>
          <w:rFonts w:asciiTheme="minorHAnsi" w:hAnsiTheme="minorHAnsi" w:cstheme="minorHAnsi"/>
          <w:b/>
          <w:bCs/>
        </w:rPr>
        <w:t xml:space="preserve">Zoning and Entitlements </w:t>
      </w:r>
    </w:p>
    <w:p w14:paraId="665154DE" w14:textId="77777777" w:rsidR="00722F4C" w:rsidRDefault="00722F4C">
      <w:pPr>
        <w:rPr>
          <w:rFonts w:asciiTheme="minorHAnsi" w:hAnsiTheme="minorHAnsi" w:cstheme="minorHAnsi"/>
          <w:b/>
          <w:bCs/>
        </w:rPr>
      </w:pPr>
    </w:p>
    <w:p w14:paraId="4F07BD3B" w14:textId="6ACD03D6" w:rsidR="0058254A" w:rsidRDefault="000E41B7" w:rsidP="001925B9">
      <w:pPr>
        <w:rPr>
          <w:rFonts w:asciiTheme="majorHAnsi" w:hAnsiTheme="majorHAnsi" w:cstheme="majorHAnsi"/>
        </w:rPr>
      </w:pPr>
      <w:r>
        <w:rPr>
          <w:rFonts w:asciiTheme="majorHAnsi" w:hAnsiTheme="majorHAnsi" w:cstheme="majorHAnsi"/>
        </w:rPr>
        <w:t xml:space="preserve">The site is zoned C-1 Downtown Commercial on the Mount Shasta zoning map. This zoning district </w:t>
      </w:r>
      <w:r w:rsidR="00E86C1A">
        <w:rPr>
          <w:rFonts w:asciiTheme="majorHAnsi" w:hAnsiTheme="majorHAnsi" w:cstheme="majorHAnsi"/>
        </w:rPr>
        <w:t>permits</w:t>
      </w:r>
      <w:r>
        <w:rPr>
          <w:rFonts w:asciiTheme="majorHAnsi" w:hAnsiTheme="majorHAnsi" w:cstheme="majorHAnsi"/>
        </w:rPr>
        <w:t xml:space="preserve"> multifamily residential uses </w:t>
      </w:r>
      <w:r w:rsidR="00E86C1A">
        <w:rPr>
          <w:rFonts w:asciiTheme="majorHAnsi" w:hAnsiTheme="majorHAnsi" w:cstheme="majorHAnsi"/>
        </w:rPr>
        <w:t xml:space="preserve">and Supportive housing by-right </w:t>
      </w:r>
      <w:r>
        <w:rPr>
          <w:rFonts w:asciiTheme="majorHAnsi" w:hAnsiTheme="majorHAnsi" w:cstheme="majorHAnsi"/>
        </w:rPr>
        <w:t>consistent with the R-3 zoning district</w:t>
      </w:r>
      <w:r w:rsidR="00E86C1A">
        <w:rPr>
          <w:rFonts w:asciiTheme="majorHAnsi" w:hAnsiTheme="majorHAnsi" w:cstheme="majorHAnsi"/>
        </w:rPr>
        <w:t xml:space="preserve"> according to the City of Mount Shasta Municipal Code. The maximum density is 20 dwelling units per acre, not including density bonus. The maximum building height is 45 feet and there are no setback requirements. </w:t>
      </w:r>
      <w:proofErr w:type="gramStart"/>
      <w:r w:rsidR="00963CC2">
        <w:rPr>
          <w:rFonts w:asciiTheme="majorHAnsi" w:hAnsiTheme="majorHAnsi" w:cstheme="majorHAnsi"/>
        </w:rPr>
        <w:t>Minimum</w:t>
      </w:r>
      <w:proofErr w:type="gramEnd"/>
      <w:r w:rsidR="00963CC2">
        <w:rPr>
          <w:rFonts w:asciiTheme="majorHAnsi" w:hAnsiTheme="majorHAnsi" w:cstheme="majorHAnsi"/>
        </w:rPr>
        <w:t xml:space="preserve"> open space is 35% of the site. </w:t>
      </w:r>
      <w:r w:rsidR="001925B9">
        <w:rPr>
          <w:rFonts w:asciiTheme="majorHAnsi" w:hAnsiTheme="majorHAnsi" w:cstheme="majorHAnsi"/>
        </w:rPr>
        <w:t xml:space="preserve">Danco received </w:t>
      </w:r>
      <w:r w:rsidR="00A91F90">
        <w:rPr>
          <w:rFonts w:asciiTheme="majorHAnsi" w:hAnsiTheme="majorHAnsi" w:cstheme="majorHAnsi"/>
        </w:rPr>
        <w:t xml:space="preserve">conditional </w:t>
      </w:r>
      <w:r w:rsidR="001925B9">
        <w:rPr>
          <w:rFonts w:asciiTheme="majorHAnsi" w:hAnsiTheme="majorHAnsi" w:cstheme="majorHAnsi"/>
        </w:rPr>
        <w:t>use permit</w:t>
      </w:r>
      <w:r w:rsidR="00A91F90">
        <w:rPr>
          <w:rFonts w:asciiTheme="majorHAnsi" w:hAnsiTheme="majorHAnsi" w:cstheme="majorHAnsi"/>
        </w:rPr>
        <w:t>, architectural review, and CEQA Mitigated Negative Declaration</w:t>
      </w:r>
      <w:r w:rsidR="001925B9">
        <w:rPr>
          <w:rFonts w:asciiTheme="majorHAnsi" w:hAnsiTheme="majorHAnsi" w:cstheme="majorHAnsi"/>
        </w:rPr>
        <w:t xml:space="preserve"> approval for the proposed project on </w:t>
      </w:r>
      <w:r w:rsidR="00A91F90">
        <w:rPr>
          <w:rFonts w:asciiTheme="majorHAnsi" w:hAnsiTheme="majorHAnsi" w:cstheme="majorHAnsi"/>
        </w:rPr>
        <w:t>May 16, 2023</w:t>
      </w:r>
      <w:r w:rsidR="001925B9">
        <w:rPr>
          <w:rFonts w:asciiTheme="majorHAnsi" w:hAnsiTheme="majorHAnsi" w:cstheme="majorHAnsi"/>
        </w:rPr>
        <w:t>.</w:t>
      </w:r>
    </w:p>
    <w:p w14:paraId="0213A99C" w14:textId="77777777" w:rsidR="00D56D6D" w:rsidRDefault="00D56D6D">
      <w:pPr>
        <w:rPr>
          <w:rFonts w:asciiTheme="majorHAnsi" w:hAnsiTheme="majorHAnsi" w:cstheme="majorHAnsi"/>
        </w:rPr>
      </w:pPr>
    </w:p>
    <w:p w14:paraId="5A46905D" w14:textId="77777777" w:rsidR="00D56D6D" w:rsidRDefault="00D56D6D">
      <w:pPr>
        <w:rPr>
          <w:rFonts w:asciiTheme="majorHAnsi" w:hAnsiTheme="majorHAnsi" w:cstheme="majorHAnsi"/>
        </w:rPr>
      </w:pPr>
    </w:p>
    <w:p w14:paraId="4C0AB624" w14:textId="3D87DA26" w:rsidR="00D56D6D" w:rsidRPr="00D56D6D" w:rsidRDefault="00D56D6D">
      <w:pPr>
        <w:rPr>
          <w:rFonts w:asciiTheme="minorHAnsi" w:hAnsiTheme="minorHAnsi" w:cstheme="minorHAnsi"/>
          <w:b/>
          <w:bCs/>
        </w:rPr>
      </w:pPr>
      <w:r w:rsidRPr="00D56D6D">
        <w:rPr>
          <w:rFonts w:asciiTheme="minorHAnsi" w:hAnsiTheme="minorHAnsi" w:cstheme="minorHAnsi"/>
          <w:b/>
          <w:bCs/>
        </w:rPr>
        <w:t>Design</w:t>
      </w:r>
    </w:p>
    <w:p w14:paraId="5B8BD155" w14:textId="77777777" w:rsidR="00D56D6D" w:rsidRDefault="00D56D6D">
      <w:pPr>
        <w:rPr>
          <w:rFonts w:asciiTheme="majorHAnsi" w:hAnsiTheme="majorHAnsi" w:cstheme="majorHAnsi"/>
        </w:rPr>
      </w:pPr>
    </w:p>
    <w:p w14:paraId="5B6A1964" w14:textId="6D5742E8" w:rsidR="005A6A3D" w:rsidRDefault="00A91F90">
      <w:pPr>
        <w:rPr>
          <w:rFonts w:asciiTheme="majorHAnsi" w:hAnsiTheme="majorHAnsi" w:cstheme="majorHAnsi"/>
        </w:rPr>
      </w:pPr>
      <w:r>
        <w:rPr>
          <w:rFonts w:asciiTheme="majorHAnsi" w:hAnsiTheme="majorHAnsi" w:cstheme="majorHAnsi"/>
        </w:rPr>
        <w:t xml:space="preserve">The approved </w:t>
      </w:r>
      <w:r w:rsidR="005A6A3D">
        <w:rPr>
          <w:rFonts w:asciiTheme="majorHAnsi" w:hAnsiTheme="majorHAnsi" w:cstheme="majorHAnsi"/>
        </w:rPr>
        <w:t>architectural plan</w:t>
      </w:r>
      <w:r>
        <w:rPr>
          <w:rFonts w:asciiTheme="majorHAnsi" w:hAnsiTheme="majorHAnsi" w:cstheme="majorHAnsi"/>
        </w:rPr>
        <w:t xml:space="preserve"> includes </w:t>
      </w:r>
      <w:r w:rsidR="005A6A3D">
        <w:rPr>
          <w:rFonts w:asciiTheme="majorHAnsi" w:hAnsiTheme="majorHAnsi" w:cstheme="majorHAnsi"/>
        </w:rPr>
        <w:t xml:space="preserve">five buildings, with three two-story buildings housing units, a single-story on-site manager’s residence building, and a single-story community building. The site plan </w:t>
      </w:r>
      <w:r w:rsidR="00303D47">
        <w:rPr>
          <w:rFonts w:asciiTheme="majorHAnsi" w:hAnsiTheme="majorHAnsi" w:cstheme="majorHAnsi"/>
        </w:rPr>
        <w:t>shows</w:t>
      </w:r>
      <w:r w:rsidR="005A6A3D">
        <w:rPr>
          <w:rFonts w:asciiTheme="majorHAnsi" w:hAnsiTheme="majorHAnsi" w:cstheme="majorHAnsi"/>
        </w:rPr>
        <w:t xml:space="preserve"> 2</w:t>
      </w:r>
      <w:r w:rsidR="00646929">
        <w:rPr>
          <w:rFonts w:asciiTheme="majorHAnsi" w:hAnsiTheme="majorHAnsi" w:cstheme="majorHAnsi"/>
        </w:rPr>
        <w:t>6</w:t>
      </w:r>
      <w:r w:rsidR="005A6A3D">
        <w:rPr>
          <w:rFonts w:asciiTheme="majorHAnsi" w:hAnsiTheme="majorHAnsi" w:cstheme="majorHAnsi"/>
        </w:rPr>
        <w:t xml:space="preserve"> on-site parking spaces</w:t>
      </w:r>
      <w:r w:rsidR="002F637E">
        <w:rPr>
          <w:rFonts w:asciiTheme="majorHAnsi" w:hAnsiTheme="majorHAnsi" w:cstheme="majorHAnsi"/>
        </w:rPr>
        <w:t>,</w:t>
      </w:r>
      <w:r w:rsidR="005A6A3D">
        <w:rPr>
          <w:rFonts w:asciiTheme="majorHAnsi" w:hAnsiTheme="majorHAnsi" w:cstheme="majorHAnsi"/>
        </w:rPr>
        <w:t xml:space="preserve"> and 1</w:t>
      </w:r>
      <w:r w:rsidR="00646929">
        <w:rPr>
          <w:rFonts w:asciiTheme="majorHAnsi" w:hAnsiTheme="majorHAnsi" w:cstheme="majorHAnsi"/>
        </w:rPr>
        <w:t>9</w:t>
      </w:r>
      <w:r w:rsidR="005A6A3D">
        <w:rPr>
          <w:rFonts w:asciiTheme="majorHAnsi" w:hAnsiTheme="majorHAnsi" w:cstheme="majorHAnsi"/>
        </w:rPr>
        <w:t xml:space="preserve"> diagonal parking spaces along Chestnut Street</w:t>
      </w:r>
      <w:r w:rsidR="00303D47">
        <w:rPr>
          <w:rFonts w:asciiTheme="majorHAnsi" w:hAnsiTheme="majorHAnsi" w:cstheme="majorHAnsi"/>
        </w:rPr>
        <w:t>, as well as a tot lot next to the community building</w:t>
      </w:r>
      <w:r w:rsidR="005A6A3D">
        <w:rPr>
          <w:rFonts w:asciiTheme="majorHAnsi" w:hAnsiTheme="majorHAnsi" w:cstheme="majorHAnsi"/>
        </w:rPr>
        <w:t xml:space="preserve">. </w:t>
      </w:r>
      <w:r w:rsidR="002F637E">
        <w:rPr>
          <w:rFonts w:asciiTheme="majorHAnsi" w:hAnsiTheme="majorHAnsi" w:cstheme="majorHAnsi"/>
        </w:rPr>
        <w:t>A main lighted and accessible pedestrian walkway runs down the center of the site parallel to Chestnut Street. The landscaping plants and trees will be non-invasive and drought tolerant.</w:t>
      </w:r>
    </w:p>
    <w:p w14:paraId="583DBC37" w14:textId="77777777" w:rsidR="005A6A3D" w:rsidRDefault="005A6A3D">
      <w:pPr>
        <w:rPr>
          <w:rFonts w:asciiTheme="majorHAnsi" w:hAnsiTheme="majorHAnsi" w:cstheme="majorHAnsi"/>
        </w:rPr>
      </w:pPr>
    </w:p>
    <w:p w14:paraId="2ADAFE64" w14:textId="568DFE09" w:rsidR="00A91F90" w:rsidRDefault="005A6A3D">
      <w:pPr>
        <w:rPr>
          <w:rFonts w:asciiTheme="majorHAnsi" w:hAnsiTheme="majorHAnsi" w:cstheme="majorHAnsi"/>
        </w:rPr>
      </w:pPr>
      <w:r>
        <w:rPr>
          <w:rFonts w:asciiTheme="majorHAnsi" w:hAnsiTheme="majorHAnsi" w:cstheme="majorHAnsi"/>
        </w:rPr>
        <w:t xml:space="preserve">The design of </w:t>
      </w:r>
      <w:r w:rsidR="002369F5">
        <w:rPr>
          <w:rFonts w:asciiTheme="majorHAnsi" w:hAnsiTheme="majorHAnsi" w:cstheme="majorHAnsi"/>
        </w:rPr>
        <w:t xml:space="preserve">23 of </w:t>
      </w:r>
      <w:r>
        <w:rPr>
          <w:rFonts w:asciiTheme="majorHAnsi" w:hAnsiTheme="majorHAnsi" w:cstheme="majorHAnsi"/>
        </w:rPr>
        <w:t xml:space="preserve">the units is in a townhome style, </w:t>
      </w:r>
      <w:r w:rsidR="00E06338">
        <w:rPr>
          <w:rFonts w:asciiTheme="majorHAnsi" w:hAnsiTheme="majorHAnsi" w:cstheme="majorHAnsi"/>
        </w:rPr>
        <w:t xml:space="preserve">with </w:t>
      </w:r>
      <w:r w:rsidR="00C22063">
        <w:rPr>
          <w:rFonts w:asciiTheme="majorHAnsi" w:hAnsiTheme="majorHAnsi" w:cstheme="majorHAnsi"/>
        </w:rPr>
        <w:t xml:space="preserve">walk-up </w:t>
      </w:r>
      <w:r w:rsidR="00E06338">
        <w:rPr>
          <w:rFonts w:asciiTheme="majorHAnsi" w:hAnsiTheme="majorHAnsi" w:cstheme="majorHAnsi"/>
        </w:rPr>
        <w:t xml:space="preserve">entry doors and porches </w:t>
      </w:r>
      <w:r w:rsidR="00C22063">
        <w:rPr>
          <w:rFonts w:asciiTheme="majorHAnsi" w:hAnsiTheme="majorHAnsi" w:cstheme="majorHAnsi"/>
        </w:rPr>
        <w:t>on the</w:t>
      </w:r>
      <w:r w:rsidR="00E06338">
        <w:rPr>
          <w:rFonts w:asciiTheme="majorHAnsi" w:hAnsiTheme="majorHAnsi" w:cstheme="majorHAnsi"/>
        </w:rPr>
        <w:t xml:space="preserve"> exterior of the building</w:t>
      </w:r>
      <w:r w:rsidR="00303D47">
        <w:rPr>
          <w:rFonts w:asciiTheme="majorHAnsi" w:hAnsiTheme="majorHAnsi" w:cstheme="majorHAnsi"/>
        </w:rPr>
        <w:t>s</w:t>
      </w:r>
      <w:r w:rsidR="00E06338">
        <w:rPr>
          <w:rFonts w:asciiTheme="majorHAnsi" w:hAnsiTheme="majorHAnsi" w:cstheme="majorHAnsi"/>
        </w:rPr>
        <w:t xml:space="preserve"> and two floors for most residences.</w:t>
      </w:r>
      <w:r w:rsidR="00303D47">
        <w:rPr>
          <w:rFonts w:asciiTheme="majorHAnsi" w:hAnsiTheme="majorHAnsi" w:cstheme="majorHAnsi"/>
        </w:rPr>
        <w:t xml:space="preserve"> </w:t>
      </w:r>
      <w:r w:rsidR="002369F5">
        <w:rPr>
          <w:rFonts w:asciiTheme="majorHAnsi" w:hAnsiTheme="majorHAnsi" w:cstheme="majorHAnsi"/>
        </w:rPr>
        <w:t>The other three units consist of two single-floor garden-style apartments, and the on-site manager’s single-story residence.</w:t>
      </w:r>
      <w:r w:rsidR="00C57CA4">
        <w:rPr>
          <w:rFonts w:asciiTheme="majorHAnsi" w:hAnsiTheme="majorHAnsi" w:cstheme="majorHAnsi"/>
        </w:rPr>
        <w:t xml:space="preserve"> </w:t>
      </w:r>
      <w:r w:rsidR="002C3C64">
        <w:rPr>
          <w:rFonts w:asciiTheme="majorHAnsi" w:hAnsiTheme="majorHAnsi" w:cstheme="majorHAnsi"/>
        </w:rPr>
        <w:t xml:space="preserve">All units include a patio or balcony. </w:t>
      </w:r>
      <w:r w:rsidR="00C57CA4">
        <w:rPr>
          <w:rFonts w:asciiTheme="majorHAnsi" w:hAnsiTheme="majorHAnsi" w:cstheme="majorHAnsi"/>
        </w:rPr>
        <w:t>The community building includes a community room and kitchen, fitness room</w:t>
      </w:r>
      <w:r w:rsidR="002C3C64">
        <w:rPr>
          <w:rFonts w:asciiTheme="majorHAnsi" w:hAnsiTheme="majorHAnsi" w:cstheme="majorHAnsi"/>
        </w:rPr>
        <w:t xml:space="preserve">, </w:t>
      </w:r>
      <w:r w:rsidR="00C57CA4">
        <w:rPr>
          <w:rFonts w:asciiTheme="majorHAnsi" w:hAnsiTheme="majorHAnsi" w:cstheme="majorHAnsi"/>
        </w:rPr>
        <w:t>laundry room, bathroom, and office.</w:t>
      </w:r>
    </w:p>
    <w:p w14:paraId="16022A78" w14:textId="77777777" w:rsidR="002F637E" w:rsidRDefault="002F637E">
      <w:pPr>
        <w:rPr>
          <w:rFonts w:asciiTheme="majorHAnsi" w:hAnsiTheme="majorHAnsi" w:cstheme="majorHAnsi"/>
        </w:rPr>
      </w:pPr>
    </w:p>
    <w:p w14:paraId="3B3FE190" w14:textId="43491F54" w:rsidR="002F637E" w:rsidRDefault="002F637E">
      <w:pPr>
        <w:rPr>
          <w:rFonts w:asciiTheme="majorHAnsi" w:hAnsiTheme="majorHAnsi" w:cstheme="majorHAnsi"/>
        </w:rPr>
      </w:pPr>
      <w:r>
        <w:rPr>
          <w:rFonts w:asciiTheme="majorHAnsi" w:hAnsiTheme="majorHAnsi" w:cstheme="majorHAnsi"/>
        </w:rPr>
        <w:t>The buildings will be wood-frame Type V-B construction on a concrete slab foundation. Each unit will be independently metered for electrical use, with air-source heat pumps providing space heating and cooling.</w:t>
      </w:r>
      <w:r w:rsidR="00672070">
        <w:rPr>
          <w:rFonts w:asciiTheme="majorHAnsi" w:hAnsiTheme="majorHAnsi" w:cstheme="majorHAnsi"/>
        </w:rPr>
        <w:t xml:space="preserve"> Exterior finishes will include fiber-cement board siding and mat-finish corrugated metal panels, along with exposed wood bracket and beam details. Colors will be earth-toned neutrals with barn-red and mustard accents.</w:t>
      </w:r>
    </w:p>
    <w:p w14:paraId="0D3DFC48" w14:textId="77777777" w:rsidR="00D56D6D" w:rsidRDefault="00D56D6D">
      <w:pPr>
        <w:rPr>
          <w:rFonts w:asciiTheme="majorHAnsi" w:hAnsiTheme="majorHAnsi" w:cstheme="majorHAnsi"/>
        </w:rPr>
      </w:pPr>
    </w:p>
    <w:p w14:paraId="3E22998B" w14:textId="77777777" w:rsidR="0061458A" w:rsidRDefault="0061458A">
      <w:pPr>
        <w:rPr>
          <w:rFonts w:asciiTheme="majorHAnsi" w:hAnsiTheme="majorHAnsi" w:cstheme="majorHAnsi"/>
        </w:rPr>
      </w:pPr>
    </w:p>
    <w:p w14:paraId="1D06511C" w14:textId="2DD81352" w:rsidR="00D56D6D" w:rsidRPr="00D56D6D" w:rsidRDefault="00D56D6D">
      <w:pPr>
        <w:rPr>
          <w:rFonts w:asciiTheme="minorHAnsi" w:hAnsiTheme="minorHAnsi" w:cstheme="minorHAnsi"/>
          <w:b/>
          <w:bCs/>
        </w:rPr>
      </w:pPr>
      <w:r w:rsidRPr="00D56D6D">
        <w:rPr>
          <w:rFonts w:asciiTheme="minorHAnsi" w:hAnsiTheme="minorHAnsi" w:cstheme="minorHAnsi"/>
          <w:b/>
          <w:bCs/>
        </w:rPr>
        <w:t>Market Feasibility</w:t>
      </w:r>
    </w:p>
    <w:p w14:paraId="7EA095EC" w14:textId="77777777" w:rsidR="00D56D6D" w:rsidRDefault="00D56D6D">
      <w:pPr>
        <w:rPr>
          <w:rFonts w:asciiTheme="majorHAnsi" w:hAnsiTheme="majorHAnsi" w:cstheme="majorHAnsi"/>
        </w:rPr>
      </w:pPr>
    </w:p>
    <w:p w14:paraId="74B2BFE4" w14:textId="0FAF58D6" w:rsidR="005D164A" w:rsidRDefault="00BF0072">
      <w:pPr>
        <w:rPr>
          <w:rFonts w:asciiTheme="majorHAnsi" w:hAnsiTheme="majorHAnsi" w:cstheme="majorHAnsi"/>
        </w:rPr>
      </w:pPr>
      <w:r>
        <w:rPr>
          <w:rFonts w:asciiTheme="majorHAnsi" w:hAnsiTheme="majorHAnsi" w:cstheme="majorHAnsi"/>
        </w:rPr>
        <w:t xml:space="preserve">A market study for the project was completed in April 2023 by Raney Planning &amp; Management, Inc. The project’s </w:t>
      </w:r>
      <w:r w:rsidR="002C3C64">
        <w:rPr>
          <w:rFonts w:asciiTheme="majorHAnsi" w:hAnsiTheme="majorHAnsi" w:cstheme="majorHAnsi"/>
        </w:rPr>
        <w:t>highest</w:t>
      </w:r>
      <w:r>
        <w:rPr>
          <w:rFonts w:asciiTheme="majorHAnsi" w:hAnsiTheme="majorHAnsi" w:cstheme="majorHAnsi"/>
        </w:rPr>
        <w:t xml:space="preserve"> proposed rents </w:t>
      </w:r>
      <w:r w:rsidR="002C3C64">
        <w:rPr>
          <w:rFonts w:asciiTheme="majorHAnsi" w:hAnsiTheme="majorHAnsi" w:cstheme="majorHAnsi"/>
        </w:rPr>
        <w:t xml:space="preserve">by unit size </w:t>
      </w:r>
      <w:r>
        <w:rPr>
          <w:rFonts w:asciiTheme="majorHAnsi" w:hAnsiTheme="majorHAnsi" w:cstheme="majorHAnsi"/>
        </w:rPr>
        <w:t xml:space="preserve">were </w:t>
      </w:r>
      <w:r w:rsidR="002C3C64">
        <w:rPr>
          <w:rFonts w:asciiTheme="majorHAnsi" w:hAnsiTheme="majorHAnsi" w:cstheme="majorHAnsi"/>
        </w:rPr>
        <w:t>10.2</w:t>
      </w:r>
      <w:r>
        <w:rPr>
          <w:rFonts w:asciiTheme="majorHAnsi" w:hAnsiTheme="majorHAnsi" w:cstheme="majorHAnsi"/>
        </w:rPr>
        <w:t>%</w:t>
      </w:r>
      <w:r w:rsidR="002C3C64">
        <w:rPr>
          <w:rFonts w:asciiTheme="majorHAnsi" w:hAnsiTheme="majorHAnsi" w:cstheme="majorHAnsi"/>
        </w:rPr>
        <w:t>-28.3%</w:t>
      </w:r>
      <w:r>
        <w:rPr>
          <w:rFonts w:asciiTheme="majorHAnsi" w:hAnsiTheme="majorHAnsi" w:cstheme="majorHAnsi"/>
        </w:rPr>
        <w:t xml:space="preserve"> lower than the weighted </w:t>
      </w:r>
      <w:r>
        <w:rPr>
          <w:rFonts w:asciiTheme="majorHAnsi" w:hAnsiTheme="majorHAnsi" w:cstheme="majorHAnsi"/>
        </w:rPr>
        <w:lastRenderedPageBreak/>
        <w:t xml:space="preserve">average of adjusted market rents at comparable properties. It is projected that there will be a demand for 113 units targeting households earning 30%-60% of Area Median Income (AMI) in the year of market entry in 2025, giving the project a capture rate of 18.6% of income qualified households in the Market Area. </w:t>
      </w:r>
      <w:r w:rsidR="002C3C64">
        <w:rPr>
          <w:rFonts w:asciiTheme="majorHAnsi" w:hAnsiTheme="majorHAnsi" w:cstheme="majorHAnsi"/>
        </w:rPr>
        <w:t xml:space="preserve">The Market Area was identified as the Cities of Mount Shasta, Weed, Dunsmuir, and the Towns of McCloud and Gazelle. </w:t>
      </w:r>
      <w:r>
        <w:rPr>
          <w:rFonts w:asciiTheme="majorHAnsi" w:hAnsiTheme="majorHAnsi" w:cstheme="majorHAnsi"/>
        </w:rPr>
        <w:t>Given this capture rate, it is projected that the project will be fully occupied within three months or less.</w:t>
      </w:r>
    </w:p>
    <w:p w14:paraId="4CBB04F9" w14:textId="77777777" w:rsidR="00D56D6D" w:rsidRDefault="00D56D6D">
      <w:pPr>
        <w:rPr>
          <w:rFonts w:asciiTheme="majorHAnsi" w:hAnsiTheme="majorHAnsi" w:cstheme="majorHAnsi"/>
        </w:rPr>
      </w:pPr>
    </w:p>
    <w:p w14:paraId="3B3843CD" w14:textId="77777777" w:rsidR="00175AF0" w:rsidRDefault="00175AF0">
      <w:pPr>
        <w:rPr>
          <w:rFonts w:asciiTheme="majorHAnsi" w:hAnsiTheme="majorHAnsi" w:cstheme="majorHAnsi"/>
        </w:rPr>
      </w:pPr>
    </w:p>
    <w:p w14:paraId="3D68837C" w14:textId="6CA04ABD" w:rsidR="00D56D6D" w:rsidRPr="00D56D6D" w:rsidRDefault="00D56D6D">
      <w:pPr>
        <w:rPr>
          <w:rFonts w:asciiTheme="minorHAnsi" w:hAnsiTheme="minorHAnsi" w:cstheme="minorHAnsi"/>
          <w:b/>
          <w:bCs/>
        </w:rPr>
      </w:pPr>
      <w:r w:rsidRPr="00D56D6D">
        <w:rPr>
          <w:rFonts w:asciiTheme="minorHAnsi" w:hAnsiTheme="minorHAnsi" w:cstheme="minorHAnsi"/>
          <w:b/>
          <w:bCs/>
        </w:rPr>
        <w:t xml:space="preserve">Financial </w:t>
      </w:r>
      <w:r w:rsidR="00E77AF7" w:rsidRPr="00D56D6D">
        <w:rPr>
          <w:rFonts w:asciiTheme="minorHAnsi" w:hAnsiTheme="minorHAnsi" w:cstheme="minorHAnsi"/>
          <w:b/>
          <w:bCs/>
        </w:rPr>
        <w:t>Feasibility</w:t>
      </w:r>
    </w:p>
    <w:p w14:paraId="004BC8B1" w14:textId="77777777" w:rsidR="00D56D6D" w:rsidRDefault="00D56D6D">
      <w:pPr>
        <w:rPr>
          <w:rFonts w:asciiTheme="majorHAnsi" w:hAnsiTheme="majorHAnsi" w:cstheme="majorHAnsi"/>
          <w:b/>
          <w:bCs/>
        </w:rPr>
      </w:pPr>
    </w:p>
    <w:p w14:paraId="78D4A15E" w14:textId="424259CF" w:rsidR="00175AF0" w:rsidRDefault="00175AF0">
      <w:pPr>
        <w:rPr>
          <w:rFonts w:asciiTheme="majorHAnsi" w:hAnsiTheme="majorHAnsi" w:cstheme="majorHAnsi"/>
          <w:u w:val="single"/>
        </w:rPr>
      </w:pPr>
      <w:r w:rsidRPr="00175AF0">
        <w:rPr>
          <w:rFonts w:asciiTheme="majorHAnsi" w:hAnsiTheme="majorHAnsi" w:cstheme="majorHAnsi"/>
          <w:u w:val="single"/>
        </w:rPr>
        <w:t xml:space="preserve">Development </w:t>
      </w:r>
      <w:r w:rsidR="006E517B">
        <w:rPr>
          <w:rFonts w:asciiTheme="majorHAnsi" w:hAnsiTheme="majorHAnsi" w:cstheme="majorHAnsi"/>
          <w:u w:val="single"/>
        </w:rPr>
        <w:t>Uses</w:t>
      </w:r>
    </w:p>
    <w:p w14:paraId="680D4133" w14:textId="77777777" w:rsidR="00175AF0" w:rsidRDefault="00175AF0">
      <w:pPr>
        <w:rPr>
          <w:rFonts w:asciiTheme="majorHAnsi" w:hAnsiTheme="majorHAnsi" w:cstheme="majorHAnsi"/>
          <w:u w:val="single"/>
        </w:rPr>
      </w:pPr>
    </w:p>
    <w:p w14:paraId="2742D442" w14:textId="1BEB7B10" w:rsidR="00175AF0" w:rsidRDefault="00175AF0">
      <w:pPr>
        <w:rPr>
          <w:rFonts w:asciiTheme="majorHAnsi" w:hAnsiTheme="majorHAnsi" w:cstheme="majorHAnsi"/>
        </w:rPr>
      </w:pPr>
      <w:r>
        <w:rPr>
          <w:rFonts w:asciiTheme="majorHAnsi" w:hAnsiTheme="majorHAnsi" w:cstheme="majorHAnsi"/>
        </w:rPr>
        <w:t xml:space="preserve">The Development Budget provided by Danco on January 25, </w:t>
      </w:r>
      <w:proofErr w:type="gramStart"/>
      <w:r>
        <w:rPr>
          <w:rFonts w:asciiTheme="majorHAnsi" w:hAnsiTheme="majorHAnsi" w:cstheme="majorHAnsi"/>
        </w:rPr>
        <w:t>2024</w:t>
      </w:r>
      <w:proofErr w:type="gramEnd"/>
      <w:r>
        <w:rPr>
          <w:rFonts w:asciiTheme="majorHAnsi" w:hAnsiTheme="majorHAnsi" w:cstheme="majorHAnsi"/>
        </w:rPr>
        <w:t xml:space="preserve"> shows total costs at $18,755,097, </w:t>
      </w:r>
      <w:r w:rsidR="008361A3">
        <w:rPr>
          <w:rFonts w:asciiTheme="majorHAnsi" w:hAnsiTheme="majorHAnsi" w:cstheme="majorHAnsi"/>
        </w:rPr>
        <w:t>at</w:t>
      </w:r>
      <w:r>
        <w:rPr>
          <w:rFonts w:asciiTheme="majorHAnsi" w:hAnsiTheme="majorHAnsi" w:cstheme="majorHAnsi"/>
        </w:rPr>
        <w:t xml:space="preserve"> $</w:t>
      </w:r>
      <w:r w:rsidR="008361A3">
        <w:rPr>
          <w:rFonts w:asciiTheme="majorHAnsi" w:hAnsiTheme="majorHAnsi" w:cstheme="majorHAnsi"/>
        </w:rPr>
        <w:t xml:space="preserve">750,204 per unit and $674 per building square foot. Construction cost is $7,542,467 at $301,699 per unit and $271 per building square foot. These overall costs are on the higher side when compared to other tax credit projects in the region, but not exorbitant, and </w:t>
      </w:r>
      <w:proofErr w:type="gramStart"/>
      <w:r w:rsidR="008361A3">
        <w:rPr>
          <w:rFonts w:asciiTheme="majorHAnsi" w:hAnsiTheme="majorHAnsi" w:cstheme="majorHAnsi"/>
        </w:rPr>
        <w:t>fairly reasonable</w:t>
      </w:r>
      <w:proofErr w:type="gramEnd"/>
      <w:r w:rsidR="008361A3">
        <w:rPr>
          <w:rFonts w:asciiTheme="majorHAnsi" w:hAnsiTheme="majorHAnsi" w:cstheme="majorHAnsi"/>
        </w:rPr>
        <w:t xml:space="preserve"> when taking into account that the project has only 25 units and 11 of the units have three bedrooms.</w:t>
      </w:r>
    </w:p>
    <w:p w14:paraId="7B728AB8" w14:textId="77777777" w:rsidR="008361A3" w:rsidRDefault="008361A3">
      <w:pPr>
        <w:rPr>
          <w:rFonts w:asciiTheme="majorHAnsi" w:hAnsiTheme="majorHAnsi" w:cstheme="majorHAnsi"/>
        </w:rPr>
      </w:pPr>
    </w:p>
    <w:p w14:paraId="720C77EA" w14:textId="00C1FDAA" w:rsidR="008361A3" w:rsidRDefault="008361A3">
      <w:pPr>
        <w:rPr>
          <w:rFonts w:asciiTheme="majorHAnsi" w:hAnsiTheme="majorHAnsi" w:cstheme="majorHAnsi"/>
        </w:rPr>
      </w:pPr>
      <w:r>
        <w:rPr>
          <w:rFonts w:asciiTheme="majorHAnsi" w:hAnsiTheme="majorHAnsi" w:cstheme="majorHAnsi"/>
        </w:rPr>
        <w:t xml:space="preserve">Land cost is </w:t>
      </w:r>
      <w:r w:rsidR="003D00E8">
        <w:rPr>
          <w:rFonts w:asciiTheme="majorHAnsi" w:hAnsiTheme="majorHAnsi" w:cstheme="majorHAnsi"/>
        </w:rPr>
        <w:t xml:space="preserve">shown as </w:t>
      </w:r>
      <w:r>
        <w:rPr>
          <w:rFonts w:asciiTheme="majorHAnsi" w:hAnsiTheme="majorHAnsi" w:cstheme="majorHAnsi"/>
        </w:rPr>
        <w:t>$430,000 at $373,913 per acre and $17,200 per unit</w:t>
      </w:r>
      <w:r w:rsidR="003D00E8">
        <w:rPr>
          <w:rFonts w:asciiTheme="majorHAnsi" w:hAnsiTheme="majorHAnsi" w:cstheme="majorHAnsi"/>
        </w:rPr>
        <w:t xml:space="preserve">, which is consistent with the value arrived at by a third-party licensed appraiser. </w:t>
      </w:r>
    </w:p>
    <w:p w14:paraId="0C0626B8" w14:textId="77777777" w:rsidR="00A13027" w:rsidRDefault="00A13027">
      <w:pPr>
        <w:rPr>
          <w:rFonts w:asciiTheme="majorHAnsi" w:hAnsiTheme="majorHAnsi" w:cstheme="majorHAnsi"/>
        </w:rPr>
      </w:pPr>
    </w:p>
    <w:p w14:paraId="45CCF8CF" w14:textId="24667505" w:rsidR="00A13027" w:rsidRDefault="00A13027">
      <w:pPr>
        <w:rPr>
          <w:rFonts w:asciiTheme="majorHAnsi" w:hAnsiTheme="majorHAnsi" w:cstheme="majorHAnsi"/>
        </w:rPr>
      </w:pPr>
      <w:r>
        <w:rPr>
          <w:rFonts w:asciiTheme="majorHAnsi" w:hAnsiTheme="majorHAnsi" w:cstheme="majorHAnsi"/>
        </w:rPr>
        <w:t>For construction, General Requirements are 4.4% of total construction cost, and Contractor Overhead and Profit is at 6.3% of total construction cost. These levels are within California Tax Credit Allocation Committee (CTCAC) underwriting standards.</w:t>
      </w:r>
      <w:r w:rsidR="008A4844">
        <w:rPr>
          <w:rFonts w:asciiTheme="majorHAnsi" w:hAnsiTheme="majorHAnsi" w:cstheme="majorHAnsi"/>
        </w:rPr>
        <w:t xml:space="preserve"> </w:t>
      </w:r>
      <w:r w:rsidR="006E517B">
        <w:rPr>
          <w:rFonts w:asciiTheme="majorHAnsi" w:hAnsiTheme="majorHAnsi" w:cstheme="majorHAnsi"/>
        </w:rPr>
        <w:t>Off-site costs are $1,342,600, which will be funded by an Infill Infrastructure Grant (IIG).</w:t>
      </w:r>
      <w:r w:rsidR="008A4844">
        <w:rPr>
          <w:rFonts w:asciiTheme="majorHAnsi" w:hAnsiTheme="majorHAnsi" w:cstheme="majorHAnsi"/>
        </w:rPr>
        <w:t xml:space="preserve"> </w:t>
      </w:r>
      <w:r w:rsidR="00C04E72">
        <w:rPr>
          <w:rFonts w:asciiTheme="majorHAnsi" w:hAnsiTheme="majorHAnsi" w:cstheme="majorHAnsi"/>
        </w:rPr>
        <w:t xml:space="preserve">The Construction Contingency is 5.0% of total construction cost, which meets typical lender requirements. </w:t>
      </w:r>
      <w:r w:rsidR="008A4844">
        <w:rPr>
          <w:rFonts w:asciiTheme="majorHAnsi" w:hAnsiTheme="majorHAnsi" w:cstheme="majorHAnsi"/>
        </w:rPr>
        <w:t xml:space="preserve">Architectural costs are 8.7% of total construction cost, which is a </w:t>
      </w:r>
      <w:proofErr w:type="gramStart"/>
      <w:r w:rsidR="008A4844">
        <w:rPr>
          <w:rFonts w:asciiTheme="majorHAnsi" w:hAnsiTheme="majorHAnsi" w:cstheme="majorHAnsi"/>
        </w:rPr>
        <w:t>fairly reasonable</w:t>
      </w:r>
      <w:proofErr w:type="gramEnd"/>
      <w:r w:rsidR="008A4844">
        <w:rPr>
          <w:rFonts w:asciiTheme="majorHAnsi" w:hAnsiTheme="majorHAnsi" w:cstheme="majorHAnsi"/>
        </w:rPr>
        <w:t xml:space="preserve"> level, but a bit on the high side.</w:t>
      </w:r>
    </w:p>
    <w:p w14:paraId="2EE51964" w14:textId="77777777" w:rsidR="008A4844" w:rsidRDefault="008A4844">
      <w:pPr>
        <w:rPr>
          <w:rFonts w:asciiTheme="majorHAnsi" w:hAnsiTheme="majorHAnsi" w:cstheme="majorHAnsi"/>
        </w:rPr>
      </w:pPr>
    </w:p>
    <w:p w14:paraId="317AAB9B" w14:textId="221C7501" w:rsidR="008A4844" w:rsidRDefault="008A4844">
      <w:pPr>
        <w:rPr>
          <w:rFonts w:asciiTheme="majorHAnsi" w:hAnsiTheme="majorHAnsi" w:cstheme="majorHAnsi"/>
        </w:rPr>
      </w:pPr>
      <w:r>
        <w:rPr>
          <w:rFonts w:asciiTheme="majorHAnsi" w:hAnsiTheme="majorHAnsi" w:cstheme="majorHAnsi"/>
        </w:rPr>
        <w:t xml:space="preserve">As for financing costs, Construction Loan Interest </w:t>
      </w:r>
      <w:r w:rsidR="00A46683">
        <w:rPr>
          <w:rFonts w:asciiTheme="majorHAnsi" w:hAnsiTheme="majorHAnsi" w:cstheme="majorHAnsi"/>
        </w:rPr>
        <w:t>payments are projected at $1,233,111</w:t>
      </w:r>
      <w:r>
        <w:rPr>
          <w:rFonts w:asciiTheme="majorHAnsi" w:hAnsiTheme="majorHAnsi" w:cstheme="majorHAnsi"/>
        </w:rPr>
        <w:t xml:space="preserve"> based on </w:t>
      </w:r>
      <w:r w:rsidR="00A46683">
        <w:rPr>
          <w:rFonts w:asciiTheme="majorHAnsi" w:hAnsiTheme="majorHAnsi" w:cstheme="majorHAnsi"/>
        </w:rPr>
        <w:t xml:space="preserve">a principal loan amount of $18,560,447, </w:t>
      </w:r>
      <w:r>
        <w:rPr>
          <w:rFonts w:asciiTheme="majorHAnsi" w:hAnsiTheme="majorHAnsi" w:cstheme="majorHAnsi"/>
        </w:rPr>
        <w:t>an 8</w:t>
      </w:r>
      <w:r w:rsidR="00A46683">
        <w:rPr>
          <w:rFonts w:asciiTheme="majorHAnsi" w:hAnsiTheme="majorHAnsi" w:cstheme="majorHAnsi"/>
        </w:rPr>
        <w:t>.0</w:t>
      </w:r>
      <w:r>
        <w:rPr>
          <w:rFonts w:asciiTheme="majorHAnsi" w:hAnsiTheme="majorHAnsi" w:cstheme="majorHAnsi"/>
        </w:rPr>
        <w:t>% interest rate</w:t>
      </w:r>
      <w:r w:rsidR="00A46683">
        <w:rPr>
          <w:rFonts w:asciiTheme="majorHAnsi" w:hAnsiTheme="majorHAnsi" w:cstheme="majorHAnsi"/>
        </w:rPr>
        <w:t>,</w:t>
      </w:r>
      <w:r w:rsidR="005C63CA">
        <w:rPr>
          <w:rFonts w:asciiTheme="majorHAnsi" w:hAnsiTheme="majorHAnsi" w:cstheme="majorHAnsi"/>
        </w:rPr>
        <w:t xml:space="preserve"> and a 20-month period (16 months construction and 4 months of lease-up/stabilization), which </w:t>
      </w:r>
      <w:r w:rsidR="00A46683">
        <w:rPr>
          <w:rFonts w:asciiTheme="majorHAnsi" w:hAnsiTheme="majorHAnsi" w:cstheme="majorHAnsi"/>
        </w:rPr>
        <w:t xml:space="preserve">is a little lower than my projection at those terms, but with a conservative 8% interest rate it seems reasonable. </w:t>
      </w:r>
      <w:r w:rsidR="00E90BB3">
        <w:rPr>
          <w:rFonts w:asciiTheme="majorHAnsi" w:hAnsiTheme="majorHAnsi" w:cstheme="majorHAnsi"/>
        </w:rPr>
        <w:t xml:space="preserve">The origination fee is 1%, which is an industry standard. </w:t>
      </w:r>
    </w:p>
    <w:p w14:paraId="5D9ED470" w14:textId="77777777" w:rsidR="00646CA4" w:rsidRDefault="00646CA4">
      <w:pPr>
        <w:rPr>
          <w:rFonts w:asciiTheme="majorHAnsi" w:hAnsiTheme="majorHAnsi" w:cstheme="majorHAnsi"/>
        </w:rPr>
      </w:pPr>
    </w:p>
    <w:p w14:paraId="4E0659BC" w14:textId="782D1D38" w:rsidR="00646CA4" w:rsidRDefault="00646CA4">
      <w:pPr>
        <w:rPr>
          <w:rFonts w:asciiTheme="majorHAnsi" w:hAnsiTheme="majorHAnsi" w:cstheme="majorHAnsi"/>
        </w:rPr>
      </w:pPr>
      <w:r>
        <w:rPr>
          <w:rFonts w:asciiTheme="majorHAnsi" w:hAnsiTheme="majorHAnsi" w:cstheme="majorHAnsi"/>
        </w:rPr>
        <w:t>Reserves include a $30,000 rent reserve, a $60,394 operating reserve, and a $600,000 capitalized operating subsidy reserve</w:t>
      </w:r>
      <w:r w:rsidR="00A2714F">
        <w:rPr>
          <w:rFonts w:asciiTheme="majorHAnsi" w:hAnsiTheme="majorHAnsi" w:cstheme="majorHAnsi"/>
        </w:rPr>
        <w:t xml:space="preserve"> (COSR)</w:t>
      </w:r>
      <w:r>
        <w:rPr>
          <w:rFonts w:asciiTheme="majorHAnsi" w:hAnsiTheme="majorHAnsi" w:cstheme="majorHAnsi"/>
        </w:rPr>
        <w:t xml:space="preserve">. The operating reserve is equal to four months of total expenses, which meets </w:t>
      </w:r>
      <w:r w:rsidR="00ED2E95">
        <w:rPr>
          <w:rFonts w:asciiTheme="majorHAnsi" w:hAnsiTheme="majorHAnsi" w:cstheme="majorHAnsi"/>
        </w:rPr>
        <w:t>the</w:t>
      </w:r>
      <w:r>
        <w:rPr>
          <w:rFonts w:asciiTheme="majorHAnsi" w:hAnsiTheme="majorHAnsi" w:cstheme="majorHAnsi"/>
        </w:rPr>
        <w:t xml:space="preserve"> underwriting standard for public funders. </w:t>
      </w:r>
      <w:r w:rsidR="00A2714F">
        <w:rPr>
          <w:rFonts w:asciiTheme="majorHAnsi" w:hAnsiTheme="majorHAnsi" w:cstheme="majorHAnsi"/>
        </w:rPr>
        <w:t>The COSR is necessary to cover cash flow deficits over the first 15 years of operations</w:t>
      </w:r>
      <w:r w:rsidR="00CE6992">
        <w:rPr>
          <w:rFonts w:asciiTheme="majorHAnsi" w:hAnsiTheme="majorHAnsi" w:cstheme="majorHAnsi"/>
        </w:rPr>
        <w:t>, as is typically required for a small affordable housing project with restricted rents</w:t>
      </w:r>
      <w:r w:rsidR="00A2714F">
        <w:rPr>
          <w:rFonts w:asciiTheme="majorHAnsi" w:hAnsiTheme="majorHAnsi" w:cstheme="majorHAnsi"/>
        </w:rPr>
        <w:t>.</w:t>
      </w:r>
    </w:p>
    <w:p w14:paraId="4A5817FF" w14:textId="77777777" w:rsidR="00D54284" w:rsidRDefault="00D54284">
      <w:pPr>
        <w:rPr>
          <w:rFonts w:asciiTheme="majorHAnsi" w:hAnsiTheme="majorHAnsi" w:cstheme="majorHAnsi"/>
        </w:rPr>
      </w:pPr>
    </w:p>
    <w:p w14:paraId="221FB9C5" w14:textId="44A3C109" w:rsidR="00D54284" w:rsidRDefault="00D54284">
      <w:pPr>
        <w:rPr>
          <w:rFonts w:asciiTheme="majorHAnsi" w:hAnsiTheme="majorHAnsi" w:cstheme="majorHAnsi"/>
        </w:rPr>
      </w:pPr>
      <w:r>
        <w:rPr>
          <w:rFonts w:asciiTheme="majorHAnsi" w:hAnsiTheme="majorHAnsi" w:cstheme="majorHAnsi"/>
        </w:rPr>
        <w:t xml:space="preserve">The Soft Cost Contingency of $146,015 is typical for a project of the size proposed. Local </w:t>
      </w:r>
      <w:r w:rsidRPr="001C0D6B">
        <w:rPr>
          <w:rFonts w:asciiTheme="majorHAnsi" w:hAnsiTheme="majorHAnsi" w:cstheme="majorHAnsi"/>
        </w:rPr>
        <w:t xml:space="preserve">Development Impact Fees and Permit Processing Fees combined are </w:t>
      </w:r>
      <w:r w:rsidR="00CC2E00" w:rsidRPr="001C0D6B">
        <w:rPr>
          <w:rFonts w:asciiTheme="majorHAnsi" w:hAnsiTheme="majorHAnsi" w:cstheme="majorHAnsi"/>
        </w:rPr>
        <w:t xml:space="preserve">$1,175,000 at $47,000 per </w:t>
      </w:r>
      <w:r w:rsidR="00CC2E00" w:rsidRPr="001C0D6B">
        <w:rPr>
          <w:rFonts w:asciiTheme="majorHAnsi" w:hAnsiTheme="majorHAnsi" w:cstheme="majorHAnsi"/>
        </w:rPr>
        <w:lastRenderedPageBreak/>
        <w:t>unit, which is higher than typical local impact and permit fees on a per unit basis.</w:t>
      </w:r>
      <w:r w:rsidR="00CC2E00" w:rsidRPr="002460B7">
        <w:rPr>
          <w:rFonts w:asciiTheme="majorHAnsi" w:hAnsiTheme="majorHAnsi" w:cstheme="majorHAnsi"/>
        </w:rPr>
        <w:t xml:space="preserve"> </w:t>
      </w:r>
      <w:proofErr w:type="gramStart"/>
      <w:r w:rsidR="006E517B">
        <w:rPr>
          <w:rFonts w:asciiTheme="majorHAnsi" w:hAnsiTheme="majorHAnsi" w:cstheme="majorHAnsi"/>
        </w:rPr>
        <w:t>Developer</w:t>
      </w:r>
      <w:proofErr w:type="gramEnd"/>
      <w:r w:rsidR="006E517B">
        <w:rPr>
          <w:rFonts w:asciiTheme="majorHAnsi" w:hAnsiTheme="majorHAnsi" w:cstheme="majorHAnsi"/>
        </w:rPr>
        <w:t xml:space="preserve"> Fee is $2,221,318, which is within the range allowable by CTCAC.</w:t>
      </w:r>
    </w:p>
    <w:p w14:paraId="6F029F56" w14:textId="77777777" w:rsidR="008A4844" w:rsidRDefault="008A4844">
      <w:pPr>
        <w:rPr>
          <w:rFonts w:asciiTheme="majorHAnsi" w:hAnsiTheme="majorHAnsi" w:cstheme="majorHAnsi"/>
        </w:rPr>
      </w:pPr>
    </w:p>
    <w:p w14:paraId="293A4527" w14:textId="77777777" w:rsidR="00BD3D00" w:rsidRDefault="00BD3D00">
      <w:pPr>
        <w:rPr>
          <w:rFonts w:asciiTheme="majorHAnsi" w:hAnsiTheme="majorHAnsi" w:cstheme="majorHAnsi"/>
        </w:rPr>
      </w:pPr>
    </w:p>
    <w:p w14:paraId="04C03421" w14:textId="18D5EB4D" w:rsidR="008A4844" w:rsidRDefault="006E517B">
      <w:pPr>
        <w:rPr>
          <w:rFonts w:asciiTheme="majorHAnsi" w:hAnsiTheme="majorHAnsi" w:cstheme="majorHAnsi"/>
          <w:u w:val="single"/>
        </w:rPr>
      </w:pPr>
      <w:r w:rsidRPr="006E517B">
        <w:rPr>
          <w:rFonts w:asciiTheme="majorHAnsi" w:hAnsiTheme="majorHAnsi" w:cstheme="majorHAnsi"/>
          <w:u w:val="single"/>
        </w:rPr>
        <w:t>Development Sources</w:t>
      </w:r>
    </w:p>
    <w:p w14:paraId="51F85C39" w14:textId="77777777" w:rsidR="006E517B" w:rsidRDefault="006E517B">
      <w:pPr>
        <w:rPr>
          <w:rFonts w:asciiTheme="majorHAnsi" w:hAnsiTheme="majorHAnsi" w:cstheme="majorHAnsi"/>
          <w:u w:val="single"/>
        </w:rPr>
      </w:pPr>
    </w:p>
    <w:p w14:paraId="7901EFAB" w14:textId="30CFC0CE" w:rsidR="006E517B" w:rsidRDefault="006E517B">
      <w:pPr>
        <w:rPr>
          <w:rFonts w:asciiTheme="majorHAnsi" w:hAnsiTheme="majorHAnsi" w:cstheme="majorHAnsi"/>
        </w:rPr>
      </w:pPr>
      <w:r>
        <w:rPr>
          <w:rFonts w:asciiTheme="majorHAnsi" w:hAnsiTheme="majorHAnsi" w:cstheme="majorHAnsi"/>
        </w:rPr>
        <w:t xml:space="preserve">Development Sources include $11,320,105 in 9% tax credit equity, $5,000,000 in Competitive PLHA, $1,342,600 in IIG, </w:t>
      </w:r>
      <w:r w:rsidR="00716550">
        <w:rPr>
          <w:rFonts w:asciiTheme="majorHAnsi" w:hAnsiTheme="majorHAnsi" w:cstheme="majorHAnsi"/>
        </w:rPr>
        <w:t>$</w:t>
      </w:r>
      <w:r w:rsidR="00FC34E4">
        <w:rPr>
          <w:rFonts w:asciiTheme="majorHAnsi" w:hAnsiTheme="majorHAnsi" w:cstheme="majorHAnsi"/>
        </w:rPr>
        <w:t>901,579.45</w:t>
      </w:r>
      <w:r w:rsidR="00716550">
        <w:rPr>
          <w:rFonts w:asciiTheme="majorHAnsi" w:hAnsiTheme="majorHAnsi" w:cstheme="majorHAnsi"/>
        </w:rPr>
        <w:t xml:space="preserve"> in County PLHA, </w:t>
      </w:r>
      <w:r>
        <w:rPr>
          <w:rFonts w:asciiTheme="majorHAnsi" w:hAnsiTheme="majorHAnsi" w:cstheme="majorHAnsi"/>
        </w:rPr>
        <w:t xml:space="preserve">and $192,391 in solar tax credit equity. </w:t>
      </w:r>
      <w:r w:rsidR="000E4161">
        <w:rPr>
          <w:rFonts w:asciiTheme="majorHAnsi" w:hAnsiTheme="majorHAnsi" w:cstheme="majorHAnsi"/>
        </w:rPr>
        <w:t>The tax credit equity assumes a purchase price of $0.8</w:t>
      </w:r>
      <w:r w:rsidR="00716550">
        <w:rPr>
          <w:rFonts w:asciiTheme="majorHAnsi" w:hAnsiTheme="majorHAnsi" w:cstheme="majorHAnsi"/>
        </w:rPr>
        <w:t>65</w:t>
      </w:r>
      <w:r w:rsidR="000E4161">
        <w:rPr>
          <w:rFonts w:asciiTheme="majorHAnsi" w:hAnsiTheme="majorHAnsi" w:cstheme="majorHAnsi"/>
        </w:rPr>
        <w:t xml:space="preserve"> per $1 of tax credit, which is within the market range for the region.</w:t>
      </w:r>
      <w:r w:rsidR="00716550">
        <w:rPr>
          <w:rFonts w:asciiTheme="majorHAnsi" w:hAnsiTheme="majorHAnsi" w:cstheme="majorHAnsi"/>
        </w:rPr>
        <w:t xml:space="preserve"> </w:t>
      </w:r>
    </w:p>
    <w:p w14:paraId="0C7875E9" w14:textId="77777777" w:rsidR="00716550" w:rsidRPr="006E517B" w:rsidRDefault="00716550">
      <w:pPr>
        <w:rPr>
          <w:rFonts w:asciiTheme="majorHAnsi" w:hAnsiTheme="majorHAnsi" w:cstheme="majorHAnsi"/>
        </w:rPr>
      </w:pPr>
    </w:p>
    <w:p w14:paraId="789B6692" w14:textId="77777777" w:rsidR="00175AF0" w:rsidRDefault="00175AF0">
      <w:pPr>
        <w:rPr>
          <w:rFonts w:asciiTheme="majorHAnsi" w:hAnsiTheme="majorHAnsi" w:cstheme="majorHAnsi"/>
          <w:u w:val="single"/>
        </w:rPr>
      </w:pPr>
    </w:p>
    <w:p w14:paraId="7A65CB9F" w14:textId="1CED925A" w:rsidR="00175AF0" w:rsidRDefault="00175AF0">
      <w:pPr>
        <w:rPr>
          <w:rFonts w:asciiTheme="majorHAnsi" w:hAnsiTheme="majorHAnsi" w:cstheme="majorHAnsi"/>
          <w:u w:val="single"/>
        </w:rPr>
      </w:pPr>
      <w:r>
        <w:rPr>
          <w:rFonts w:asciiTheme="majorHAnsi" w:hAnsiTheme="majorHAnsi" w:cstheme="majorHAnsi"/>
          <w:u w:val="single"/>
        </w:rPr>
        <w:t>Operating Budget</w:t>
      </w:r>
    </w:p>
    <w:p w14:paraId="107EDD2C" w14:textId="77777777" w:rsidR="00716550" w:rsidRDefault="00716550">
      <w:pPr>
        <w:rPr>
          <w:rFonts w:asciiTheme="majorHAnsi" w:hAnsiTheme="majorHAnsi" w:cstheme="majorHAnsi"/>
          <w:u w:val="single"/>
        </w:rPr>
      </w:pPr>
    </w:p>
    <w:p w14:paraId="6D641439" w14:textId="1E16112D" w:rsidR="00924207" w:rsidRPr="00716550" w:rsidRDefault="00716550">
      <w:pPr>
        <w:rPr>
          <w:rFonts w:asciiTheme="majorHAnsi" w:hAnsiTheme="majorHAnsi" w:cstheme="majorHAnsi"/>
        </w:rPr>
      </w:pPr>
      <w:r>
        <w:rPr>
          <w:rFonts w:asciiTheme="majorHAnsi" w:hAnsiTheme="majorHAnsi" w:cstheme="majorHAnsi"/>
        </w:rPr>
        <w:t>Operating Expenses, not including Social Services or Replacement Reserves, are $8,363 per unit</w:t>
      </w:r>
      <w:r w:rsidR="00924207">
        <w:rPr>
          <w:rFonts w:asciiTheme="majorHAnsi" w:hAnsiTheme="majorHAnsi" w:cstheme="majorHAnsi"/>
        </w:rPr>
        <w:t xml:space="preserve"> annually</w:t>
      </w:r>
      <w:r>
        <w:rPr>
          <w:rFonts w:asciiTheme="majorHAnsi" w:hAnsiTheme="majorHAnsi" w:cstheme="majorHAnsi"/>
        </w:rPr>
        <w:t>, which exceeds CTCAC minimum requirements, and are a bit on the high side, but within an acceptable range for a small project with larger units.</w:t>
      </w:r>
      <w:r w:rsidR="00924207">
        <w:rPr>
          <w:rFonts w:asciiTheme="majorHAnsi" w:hAnsiTheme="majorHAnsi" w:cstheme="majorHAnsi"/>
        </w:rPr>
        <w:t xml:space="preserve"> The Management Fee is $50.87 per unit per month, which is within the market range for an affordable housing project. Replacement Reserve deposits are $500 per unit per year, which meets public funder underwriting standards. Social Services is budgeted at $20,000, or $800 per unit per year. On-staffing will include a 1.0 </w:t>
      </w:r>
      <w:proofErr w:type="gramStart"/>
      <w:r w:rsidR="00924207">
        <w:rPr>
          <w:rFonts w:asciiTheme="majorHAnsi" w:hAnsiTheme="majorHAnsi" w:cstheme="majorHAnsi"/>
        </w:rPr>
        <w:t>Full Time</w:t>
      </w:r>
      <w:proofErr w:type="gramEnd"/>
      <w:r w:rsidR="00924207">
        <w:rPr>
          <w:rFonts w:asciiTheme="majorHAnsi" w:hAnsiTheme="majorHAnsi" w:cstheme="majorHAnsi"/>
        </w:rPr>
        <w:t xml:space="preserve"> Equivalent (FTE) on-site property manager and a part-time Services Coordinator (FTE is not specified). </w:t>
      </w:r>
    </w:p>
    <w:p w14:paraId="632797B4" w14:textId="77777777" w:rsidR="00175AF0" w:rsidRDefault="00175AF0">
      <w:pPr>
        <w:rPr>
          <w:rFonts w:asciiTheme="majorHAnsi" w:hAnsiTheme="majorHAnsi" w:cstheme="majorHAnsi"/>
          <w:u w:val="single"/>
        </w:rPr>
      </w:pPr>
    </w:p>
    <w:p w14:paraId="6D728FDB" w14:textId="77777777" w:rsidR="00924207" w:rsidRDefault="00924207">
      <w:pPr>
        <w:rPr>
          <w:rFonts w:asciiTheme="majorHAnsi" w:hAnsiTheme="majorHAnsi" w:cstheme="majorHAnsi"/>
          <w:u w:val="single"/>
        </w:rPr>
      </w:pPr>
    </w:p>
    <w:p w14:paraId="2027D6D5" w14:textId="75FA71F4" w:rsidR="00175AF0" w:rsidRPr="00175AF0" w:rsidRDefault="00175AF0">
      <w:pPr>
        <w:rPr>
          <w:rFonts w:asciiTheme="majorHAnsi" w:hAnsiTheme="majorHAnsi" w:cstheme="majorHAnsi"/>
          <w:u w:val="single"/>
        </w:rPr>
      </w:pPr>
      <w:r>
        <w:rPr>
          <w:rFonts w:asciiTheme="majorHAnsi" w:hAnsiTheme="majorHAnsi" w:cstheme="majorHAnsi"/>
          <w:u w:val="single"/>
        </w:rPr>
        <w:t>Cashflow Proforma</w:t>
      </w:r>
    </w:p>
    <w:p w14:paraId="3338E7C0" w14:textId="77777777" w:rsidR="00D56D6D" w:rsidRDefault="00D56D6D">
      <w:pPr>
        <w:rPr>
          <w:rFonts w:asciiTheme="majorHAnsi" w:hAnsiTheme="majorHAnsi" w:cstheme="majorHAnsi"/>
          <w:b/>
          <w:bCs/>
        </w:rPr>
      </w:pPr>
    </w:p>
    <w:p w14:paraId="7926D7EE" w14:textId="6A205234" w:rsidR="00924207" w:rsidRDefault="00924207">
      <w:pPr>
        <w:rPr>
          <w:rFonts w:asciiTheme="majorHAnsi" w:hAnsiTheme="majorHAnsi" w:cstheme="majorHAnsi"/>
        </w:rPr>
      </w:pPr>
      <w:r>
        <w:rPr>
          <w:rFonts w:asciiTheme="majorHAnsi" w:hAnsiTheme="majorHAnsi" w:cstheme="majorHAnsi"/>
        </w:rPr>
        <w:t xml:space="preserve">The 15-Year Cashflow Proforma shows standard underwriting assumptions of 5.0% vacancy rate, revenue increasing at 2.5% annually, and expenses increasing at 3.5% annually. There are no permanent debt payments. In Year 1, cashflow after payment of all expenses is projected to be $12,782, and by Year 8, cashflow goes negative to -$1,597. This is typical for small affordable rent-restricted projects. </w:t>
      </w:r>
      <w:proofErr w:type="gramStart"/>
      <w:r>
        <w:rPr>
          <w:rFonts w:asciiTheme="majorHAnsi" w:hAnsiTheme="majorHAnsi" w:cstheme="majorHAnsi"/>
        </w:rPr>
        <w:t>In order to</w:t>
      </w:r>
      <w:proofErr w:type="gramEnd"/>
      <w:r>
        <w:rPr>
          <w:rFonts w:asciiTheme="majorHAnsi" w:hAnsiTheme="majorHAnsi" w:cstheme="majorHAnsi"/>
        </w:rPr>
        <w:t xml:space="preserve"> address shortfalls in future years, the Development Budget included a COSR capitalized at $600,000. </w:t>
      </w:r>
      <w:r w:rsidR="00C22492">
        <w:rPr>
          <w:rFonts w:asciiTheme="majorHAnsi" w:hAnsiTheme="majorHAnsi" w:cstheme="majorHAnsi"/>
        </w:rPr>
        <w:t xml:space="preserve">The COSR is projected to be drawn over the 15 years of operations to cover shortfalls, </w:t>
      </w:r>
      <w:r w:rsidR="00ED2E95">
        <w:rPr>
          <w:rFonts w:asciiTheme="majorHAnsi" w:hAnsiTheme="majorHAnsi" w:cstheme="majorHAnsi"/>
        </w:rPr>
        <w:t xml:space="preserve">with draws </w:t>
      </w:r>
      <w:r w:rsidR="00C22492">
        <w:rPr>
          <w:rFonts w:asciiTheme="majorHAnsi" w:hAnsiTheme="majorHAnsi" w:cstheme="majorHAnsi"/>
        </w:rPr>
        <w:t xml:space="preserve">starting at $28,989 in Year 1 </w:t>
      </w:r>
      <w:r w:rsidR="00ED2E95">
        <w:rPr>
          <w:rFonts w:asciiTheme="majorHAnsi" w:hAnsiTheme="majorHAnsi" w:cstheme="majorHAnsi"/>
        </w:rPr>
        <w:t>and increasing to</w:t>
      </w:r>
      <w:r w:rsidR="00C22492">
        <w:rPr>
          <w:rFonts w:asciiTheme="majorHAnsi" w:hAnsiTheme="majorHAnsi" w:cstheme="majorHAnsi"/>
        </w:rPr>
        <w:t xml:space="preserve"> $45,996 in Year 15. The COSR draws also allow Danco to pay a $2,500 annual Management Fee, a $10,000 annual Limited Partner Asset Management Fee, and residual receipts loan repayments ranging from $8,244 in Year 1 to $16,748 in Year 15.</w:t>
      </w:r>
      <w:r w:rsidR="00C5138D">
        <w:rPr>
          <w:rFonts w:asciiTheme="majorHAnsi" w:hAnsiTheme="majorHAnsi" w:cstheme="majorHAnsi"/>
        </w:rPr>
        <w:t xml:space="preserve"> Overall, the Cashflow Proforma presents a feasible project. The margins are thin, as is typical for a small affordable housing project, but the COSR and lack of required debt payments provides adequate </w:t>
      </w:r>
      <w:proofErr w:type="gramStart"/>
      <w:r w:rsidR="00C5138D">
        <w:rPr>
          <w:rFonts w:asciiTheme="majorHAnsi" w:hAnsiTheme="majorHAnsi" w:cstheme="majorHAnsi"/>
        </w:rPr>
        <w:t>security</w:t>
      </w:r>
      <w:proofErr w:type="gramEnd"/>
      <w:r w:rsidR="00C5138D">
        <w:rPr>
          <w:rFonts w:asciiTheme="majorHAnsi" w:hAnsiTheme="majorHAnsi" w:cstheme="majorHAnsi"/>
        </w:rPr>
        <w:t xml:space="preserve"> that costs will be covered.</w:t>
      </w:r>
    </w:p>
    <w:p w14:paraId="43D54376" w14:textId="77777777" w:rsidR="00C32454" w:rsidRPr="00924207" w:rsidRDefault="00C32454">
      <w:pPr>
        <w:rPr>
          <w:rFonts w:asciiTheme="majorHAnsi" w:hAnsiTheme="majorHAnsi" w:cstheme="majorHAnsi"/>
        </w:rPr>
      </w:pPr>
    </w:p>
    <w:p w14:paraId="6B946D8E" w14:textId="77777777" w:rsidR="00924207" w:rsidRDefault="00924207">
      <w:pPr>
        <w:rPr>
          <w:rFonts w:asciiTheme="majorHAnsi" w:hAnsiTheme="majorHAnsi" w:cstheme="majorHAnsi"/>
          <w:b/>
          <w:bCs/>
        </w:rPr>
      </w:pPr>
    </w:p>
    <w:p w14:paraId="6540302C" w14:textId="77777777" w:rsidR="00ED2E95" w:rsidRDefault="00ED2E95">
      <w:pPr>
        <w:rPr>
          <w:rFonts w:asciiTheme="majorHAnsi" w:hAnsiTheme="majorHAnsi" w:cstheme="majorHAnsi"/>
          <w:u w:val="single"/>
        </w:rPr>
      </w:pPr>
    </w:p>
    <w:p w14:paraId="0C642D71" w14:textId="77777777" w:rsidR="00ED2E95" w:rsidRDefault="00ED2E95">
      <w:pPr>
        <w:rPr>
          <w:rFonts w:asciiTheme="majorHAnsi" w:hAnsiTheme="majorHAnsi" w:cstheme="majorHAnsi"/>
          <w:u w:val="single"/>
        </w:rPr>
      </w:pPr>
    </w:p>
    <w:p w14:paraId="1D5E40E4" w14:textId="77777777" w:rsidR="00ED2E95" w:rsidRDefault="00ED2E95">
      <w:pPr>
        <w:rPr>
          <w:rFonts w:asciiTheme="majorHAnsi" w:hAnsiTheme="majorHAnsi" w:cstheme="majorHAnsi"/>
          <w:u w:val="single"/>
        </w:rPr>
      </w:pPr>
    </w:p>
    <w:p w14:paraId="18E24064" w14:textId="7A2FF887" w:rsidR="00175AF0" w:rsidRPr="00175AF0" w:rsidRDefault="00175AF0">
      <w:pPr>
        <w:rPr>
          <w:rFonts w:asciiTheme="majorHAnsi" w:hAnsiTheme="majorHAnsi" w:cstheme="majorHAnsi"/>
          <w:u w:val="single"/>
        </w:rPr>
      </w:pPr>
      <w:r w:rsidRPr="00175AF0">
        <w:rPr>
          <w:rFonts w:asciiTheme="majorHAnsi" w:hAnsiTheme="majorHAnsi" w:cstheme="majorHAnsi"/>
          <w:u w:val="single"/>
        </w:rPr>
        <w:t>Gap Financing Need</w:t>
      </w:r>
    </w:p>
    <w:p w14:paraId="2DEEB599" w14:textId="77777777" w:rsidR="00175AF0" w:rsidRDefault="00175AF0">
      <w:pPr>
        <w:rPr>
          <w:rFonts w:asciiTheme="minorHAnsi" w:hAnsiTheme="minorHAnsi" w:cstheme="minorHAnsi"/>
          <w:b/>
          <w:bCs/>
        </w:rPr>
      </w:pPr>
    </w:p>
    <w:p w14:paraId="7E2A1689" w14:textId="667C2CF7" w:rsidR="00CF5B7D" w:rsidRDefault="00CF5B7D">
      <w:pPr>
        <w:rPr>
          <w:rFonts w:asciiTheme="majorHAnsi" w:hAnsiTheme="majorHAnsi" w:cstheme="majorHAnsi"/>
        </w:rPr>
      </w:pPr>
      <w:r>
        <w:rPr>
          <w:rFonts w:asciiTheme="majorHAnsi" w:hAnsiTheme="majorHAnsi" w:cstheme="majorHAnsi"/>
        </w:rPr>
        <w:t xml:space="preserve">The proforma proposes a </w:t>
      </w:r>
      <w:proofErr w:type="gramStart"/>
      <w:r>
        <w:rPr>
          <w:rFonts w:asciiTheme="majorHAnsi" w:hAnsiTheme="majorHAnsi" w:cstheme="majorHAnsi"/>
        </w:rPr>
        <w:t>County</w:t>
      </w:r>
      <w:proofErr w:type="gramEnd"/>
      <w:r>
        <w:rPr>
          <w:rFonts w:asciiTheme="majorHAnsi" w:hAnsiTheme="majorHAnsi" w:cstheme="majorHAnsi"/>
        </w:rPr>
        <w:t xml:space="preserve"> contribution in the form of a $</w:t>
      </w:r>
      <w:r w:rsidR="00FC34E4">
        <w:rPr>
          <w:rFonts w:asciiTheme="majorHAnsi" w:hAnsiTheme="majorHAnsi" w:cstheme="majorHAnsi"/>
        </w:rPr>
        <w:t>901,579.45</w:t>
      </w:r>
      <w:r>
        <w:rPr>
          <w:rFonts w:asciiTheme="majorHAnsi" w:hAnsiTheme="majorHAnsi" w:cstheme="majorHAnsi"/>
        </w:rPr>
        <w:t xml:space="preserve"> PLHA loan. This loan would carry a 3% simple interest rate and 55-year term with 55-year rent restriction, with repayments </w:t>
      </w:r>
      <w:r w:rsidR="00355F3E">
        <w:rPr>
          <w:rFonts w:asciiTheme="majorHAnsi" w:hAnsiTheme="majorHAnsi" w:cstheme="majorHAnsi"/>
        </w:rPr>
        <w:t xml:space="preserve">and interest </w:t>
      </w:r>
      <w:r w:rsidR="000A3E68">
        <w:rPr>
          <w:rFonts w:asciiTheme="majorHAnsi" w:hAnsiTheme="majorHAnsi" w:cstheme="majorHAnsi"/>
        </w:rPr>
        <w:t xml:space="preserve">fully </w:t>
      </w:r>
      <w:r w:rsidR="004B32C7">
        <w:rPr>
          <w:rFonts w:asciiTheme="majorHAnsi" w:hAnsiTheme="majorHAnsi" w:cstheme="majorHAnsi"/>
        </w:rPr>
        <w:t>deferred to the end of the 55-year period</w:t>
      </w:r>
      <w:r w:rsidR="009113F7">
        <w:rPr>
          <w:rFonts w:asciiTheme="majorHAnsi" w:hAnsiTheme="majorHAnsi" w:cstheme="majorHAnsi"/>
        </w:rPr>
        <w:t>, as stipulated by the PLHA program</w:t>
      </w:r>
      <w:r>
        <w:rPr>
          <w:rFonts w:asciiTheme="majorHAnsi" w:hAnsiTheme="majorHAnsi" w:cstheme="majorHAnsi"/>
        </w:rPr>
        <w:t>. The 15-Year Cashflow Proforma shows that the County should expect little to no repayment over the first 15 years of operations.</w:t>
      </w:r>
    </w:p>
    <w:p w14:paraId="7693BDAB" w14:textId="77777777" w:rsidR="005D4ED9" w:rsidRDefault="005D4ED9">
      <w:pPr>
        <w:rPr>
          <w:rFonts w:asciiTheme="majorHAnsi" w:hAnsiTheme="majorHAnsi" w:cstheme="majorHAnsi"/>
        </w:rPr>
      </w:pPr>
    </w:p>
    <w:p w14:paraId="5FAC91E3" w14:textId="4AA3D4FA" w:rsidR="005D4ED9" w:rsidRDefault="005D4ED9">
      <w:pPr>
        <w:rPr>
          <w:rFonts w:asciiTheme="majorHAnsi" w:hAnsiTheme="majorHAnsi" w:cstheme="majorHAnsi"/>
        </w:rPr>
      </w:pPr>
      <w:r>
        <w:rPr>
          <w:rFonts w:asciiTheme="majorHAnsi" w:hAnsiTheme="majorHAnsi" w:cstheme="majorHAnsi"/>
        </w:rPr>
        <w:t xml:space="preserve">The County’s loan would address two needs for the project: 1) provide gap financing not covered by other sources; and 2) improve the project’s competitiveness for tax credits. The tie-breaker calculation in the tax credit competition is largely based on the proportion of deferred repayment loans, grants, and loans underwritten by rental assistance committed to the project relative to the amount of requested tax credits. Projects that have higher proportions of the development budget funded with deferred repayment loans, grants, and loans underwritten by rental assistance score higher in the </w:t>
      </w:r>
      <w:proofErr w:type="gramStart"/>
      <w:r>
        <w:rPr>
          <w:rFonts w:asciiTheme="majorHAnsi" w:hAnsiTheme="majorHAnsi" w:cstheme="majorHAnsi"/>
        </w:rPr>
        <w:t>tie-breaker</w:t>
      </w:r>
      <w:proofErr w:type="gramEnd"/>
      <w:r>
        <w:rPr>
          <w:rFonts w:asciiTheme="majorHAnsi" w:hAnsiTheme="majorHAnsi" w:cstheme="majorHAnsi"/>
        </w:rPr>
        <w:t xml:space="preserve"> and are more likely to be funded. </w:t>
      </w:r>
    </w:p>
    <w:p w14:paraId="05CCE061" w14:textId="77777777" w:rsidR="005E6E49" w:rsidRDefault="005E6E49">
      <w:pPr>
        <w:rPr>
          <w:rFonts w:asciiTheme="majorHAnsi" w:hAnsiTheme="majorHAnsi" w:cstheme="majorHAnsi"/>
        </w:rPr>
      </w:pPr>
    </w:p>
    <w:p w14:paraId="70FCA9F3" w14:textId="59ECC3C9" w:rsidR="005E6E49" w:rsidRDefault="005E6E49">
      <w:pPr>
        <w:rPr>
          <w:rFonts w:asciiTheme="majorHAnsi" w:hAnsiTheme="majorHAnsi" w:cstheme="majorHAnsi"/>
        </w:rPr>
      </w:pPr>
      <w:r>
        <w:rPr>
          <w:rFonts w:asciiTheme="majorHAnsi" w:hAnsiTheme="majorHAnsi" w:cstheme="majorHAnsi"/>
        </w:rPr>
        <w:t xml:space="preserve">The Danco proforma shows that the project would score 63.797% in the </w:t>
      </w:r>
      <w:proofErr w:type="gramStart"/>
      <w:r>
        <w:rPr>
          <w:rFonts w:asciiTheme="majorHAnsi" w:hAnsiTheme="majorHAnsi" w:cstheme="majorHAnsi"/>
        </w:rPr>
        <w:t>tie-breaker</w:t>
      </w:r>
      <w:proofErr w:type="gramEnd"/>
      <w:r>
        <w:rPr>
          <w:rFonts w:asciiTheme="majorHAnsi" w:hAnsiTheme="majorHAnsi" w:cstheme="majorHAnsi"/>
        </w:rPr>
        <w:t xml:space="preserve">. The project will compete within the Rural Set-Aside of the tax credit application. Danco </w:t>
      </w:r>
      <w:proofErr w:type="gramStart"/>
      <w:r>
        <w:rPr>
          <w:rFonts w:asciiTheme="majorHAnsi" w:hAnsiTheme="majorHAnsi" w:cstheme="majorHAnsi"/>
        </w:rPr>
        <w:t>has submitted</w:t>
      </w:r>
      <w:proofErr w:type="gramEnd"/>
      <w:r>
        <w:rPr>
          <w:rFonts w:asciiTheme="majorHAnsi" w:hAnsiTheme="majorHAnsi" w:cstheme="majorHAnsi"/>
        </w:rPr>
        <w:t xml:space="preserve"> two tax credit applications last year but neither received an award. The funding rounds have been challenging because Mountain Townhomes has competed against projects that have received large commitments of CDBG-DR funds, particularly in Butte County, that have resulted in very high tie-breaker scores for those projects.</w:t>
      </w:r>
      <w:r w:rsidR="00464DDA">
        <w:rPr>
          <w:rFonts w:asciiTheme="majorHAnsi" w:hAnsiTheme="majorHAnsi" w:cstheme="majorHAnsi"/>
        </w:rPr>
        <w:t xml:space="preserve"> </w:t>
      </w:r>
      <w:r w:rsidR="00D940C4">
        <w:rPr>
          <w:rFonts w:asciiTheme="majorHAnsi" w:hAnsiTheme="majorHAnsi" w:cstheme="majorHAnsi"/>
        </w:rPr>
        <w:t>In the first round of the 2023 9% tax credit competition, the lowest scoring project awarded credits in the Rural Set-Aside was 59.531%</w:t>
      </w:r>
      <w:r w:rsidR="00112B25">
        <w:rPr>
          <w:rFonts w:asciiTheme="majorHAnsi" w:hAnsiTheme="majorHAnsi" w:cstheme="majorHAnsi"/>
        </w:rPr>
        <w:t>. In the second round of the 2023 9% tax credit competition, the lowest scoring project awarded credits in the Rural Set-Aside was 56.418%, and Mountain Townhomes was the highest scoring project in the Rural Set-Aside that was not funded.</w:t>
      </w:r>
    </w:p>
    <w:p w14:paraId="40788572" w14:textId="77777777" w:rsidR="00112B25" w:rsidRDefault="00112B25">
      <w:pPr>
        <w:rPr>
          <w:rFonts w:asciiTheme="majorHAnsi" w:hAnsiTheme="majorHAnsi" w:cstheme="majorHAnsi"/>
        </w:rPr>
      </w:pPr>
    </w:p>
    <w:p w14:paraId="38E31F10" w14:textId="20B29F84" w:rsidR="00112B25" w:rsidRDefault="000C0FF3">
      <w:pPr>
        <w:rPr>
          <w:rFonts w:asciiTheme="majorHAnsi" w:hAnsiTheme="majorHAnsi" w:cstheme="majorHAnsi"/>
        </w:rPr>
      </w:pPr>
      <w:r>
        <w:rPr>
          <w:rFonts w:asciiTheme="majorHAnsi" w:hAnsiTheme="majorHAnsi" w:cstheme="majorHAnsi"/>
        </w:rPr>
        <w:t xml:space="preserve">In 2024, the </w:t>
      </w:r>
      <w:proofErr w:type="gramStart"/>
      <w:r>
        <w:rPr>
          <w:rFonts w:asciiTheme="majorHAnsi" w:hAnsiTheme="majorHAnsi" w:cstheme="majorHAnsi"/>
        </w:rPr>
        <w:t>amount</w:t>
      </w:r>
      <w:proofErr w:type="gramEnd"/>
      <w:r>
        <w:rPr>
          <w:rFonts w:asciiTheme="majorHAnsi" w:hAnsiTheme="majorHAnsi" w:cstheme="majorHAnsi"/>
        </w:rPr>
        <w:t xml:space="preserve"> of credits in the Round 1 Rural Set-Aside is $11,206,806 in annual federal credits, with a 14% apportionment for RHS, HOME, and CDBG-DR projects at $1,568,953. This is about $400,000 more than what was available in the 2023 funding rounds. The amount of tax credit equity available to projects is roughly 10 times these amounts ($112 million in the Rural Set-Aside). </w:t>
      </w:r>
      <w:r w:rsidR="00D62033">
        <w:rPr>
          <w:rFonts w:asciiTheme="majorHAnsi" w:hAnsiTheme="majorHAnsi" w:cstheme="majorHAnsi"/>
        </w:rPr>
        <w:t xml:space="preserve">The inclusion of CDBG-DR projects in the 14% apportionment of the Rural Set-Aside is a new change in the 2024 CTCAC Regulations. </w:t>
      </w:r>
    </w:p>
    <w:p w14:paraId="248EF0E4" w14:textId="77777777" w:rsidR="00EA7576" w:rsidRDefault="00EA7576">
      <w:pPr>
        <w:rPr>
          <w:rFonts w:asciiTheme="majorHAnsi" w:hAnsiTheme="majorHAnsi" w:cstheme="majorHAnsi"/>
        </w:rPr>
      </w:pPr>
    </w:p>
    <w:p w14:paraId="3EED306F" w14:textId="5C41D99D" w:rsidR="00EA7576" w:rsidRPr="00CF5B7D" w:rsidRDefault="00EA7576">
      <w:pPr>
        <w:rPr>
          <w:rFonts w:asciiTheme="majorHAnsi" w:hAnsiTheme="majorHAnsi" w:cstheme="majorHAnsi"/>
        </w:rPr>
      </w:pPr>
      <w:r>
        <w:rPr>
          <w:rFonts w:asciiTheme="majorHAnsi" w:hAnsiTheme="majorHAnsi" w:cstheme="majorHAnsi"/>
        </w:rPr>
        <w:t>Mountain Townhomes has an advantage in the CTCAC funding process in that it is a Large Family Housing Type in a High Resource Area. CTCAC has a goal of funding 30% of projects within the Rural Set-Aside that meet these criteria</w:t>
      </w:r>
      <w:r w:rsidR="00587FAB">
        <w:rPr>
          <w:rFonts w:asciiTheme="majorHAnsi" w:hAnsiTheme="majorHAnsi" w:cstheme="majorHAnsi"/>
        </w:rPr>
        <w:t>, so these projects may receive priority if that goal is not yet met</w:t>
      </w:r>
      <w:r>
        <w:rPr>
          <w:rFonts w:asciiTheme="majorHAnsi" w:hAnsiTheme="majorHAnsi" w:cstheme="majorHAnsi"/>
        </w:rPr>
        <w:t xml:space="preserve">. </w:t>
      </w:r>
      <w:r w:rsidR="009113F7">
        <w:rPr>
          <w:rFonts w:asciiTheme="majorHAnsi" w:hAnsiTheme="majorHAnsi" w:cstheme="majorHAnsi"/>
        </w:rPr>
        <w:t>County PLHA funding at $</w:t>
      </w:r>
      <w:r w:rsidR="00FC34E4">
        <w:rPr>
          <w:rFonts w:asciiTheme="majorHAnsi" w:hAnsiTheme="majorHAnsi" w:cstheme="majorHAnsi"/>
        </w:rPr>
        <w:t>901,579.45</w:t>
      </w:r>
      <w:r w:rsidR="009113F7">
        <w:rPr>
          <w:rFonts w:asciiTheme="majorHAnsi" w:hAnsiTheme="majorHAnsi" w:cstheme="majorHAnsi"/>
        </w:rPr>
        <w:t xml:space="preserve"> will allow Mountain Townhomes to score 63.797% in the </w:t>
      </w:r>
      <w:proofErr w:type="gramStart"/>
      <w:r w:rsidR="009113F7">
        <w:rPr>
          <w:rFonts w:asciiTheme="majorHAnsi" w:hAnsiTheme="majorHAnsi" w:cstheme="majorHAnsi"/>
        </w:rPr>
        <w:t>tie-breaker</w:t>
      </w:r>
      <w:proofErr w:type="gramEnd"/>
      <w:r w:rsidR="009113F7">
        <w:rPr>
          <w:rFonts w:asciiTheme="majorHAnsi" w:hAnsiTheme="majorHAnsi" w:cstheme="majorHAnsi"/>
        </w:rPr>
        <w:t xml:space="preserve">. If funding were increased to $1,350,000, the project would score 67.398%. If funding were increased to $1,800,000, the project would score 70.998%. </w:t>
      </w:r>
    </w:p>
    <w:p w14:paraId="3060ACB0" w14:textId="77777777" w:rsidR="00C5138D" w:rsidRDefault="00C5138D">
      <w:pPr>
        <w:rPr>
          <w:rFonts w:asciiTheme="minorHAnsi" w:hAnsiTheme="minorHAnsi" w:cstheme="minorHAnsi"/>
          <w:b/>
          <w:bCs/>
        </w:rPr>
      </w:pPr>
    </w:p>
    <w:p w14:paraId="06EA861B" w14:textId="77777777" w:rsidR="00175AF0" w:rsidRDefault="00175AF0">
      <w:pPr>
        <w:rPr>
          <w:rFonts w:asciiTheme="minorHAnsi" w:hAnsiTheme="minorHAnsi" w:cstheme="minorHAnsi"/>
          <w:b/>
          <w:bCs/>
        </w:rPr>
      </w:pPr>
    </w:p>
    <w:p w14:paraId="36B63B53" w14:textId="23F29FF1" w:rsidR="00D56D6D" w:rsidRDefault="00D56D6D">
      <w:pPr>
        <w:rPr>
          <w:rFonts w:asciiTheme="minorHAnsi" w:hAnsiTheme="minorHAnsi" w:cstheme="minorHAnsi"/>
          <w:b/>
          <w:bCs/>
        </w:rPr>
      </w:pPr>
      <w:r w:rsidRPr="00D56D6D">
        <w:rPr>
          <w:rFonts w:asciiTheme="minorHAnsi" w:hAnsiTheme="minorHAnsi" w:cstheme="minorHAnsi"/>
          <w:b/>
          <w:bCs/>
        </w:rPr>
        <w:t>Community Benefit</w:t>
      </w:r>
    </w:p>
    <w:p w14:paraId="712C0B1D" w14:textId="77777777" w:rsidR="00D56D6D" w:rsidRDefault="00D56D6D">
      <w:pPr>
        <w:rPr>
          <w:rFonts w:asciiTheme="minorHAnsi" w:hAnsiTheme="minorHAnsi" w:cstheme="minorHAnsi"/>
          <w:b/>
          <w:bCs/>
        </w:rPr>
      </w:pPr>
    </w:p>
    <w:p w14:paraId="438F137C" w14:textId="5328B18D" w:rsidR="0006377B" w:rsidRDefault="000E5E8C">
      <w:pPr>
        <w:rPr>
          <w:rFonts w:asciiTheme="majorHAnsi" w:hAnsiTheme="majorHAnsi" w:cstheme="majorHAnsi"/>
        </w:rPr>
      </w:pPr>
      <w:r>
        <w:rPr>
          <w:rFonts w:asciiTheme="majorHAnsi" w:hAnsiTheme="majorHAnsi" w:cstheme="majorHAnsi"/>
        </w:rPr>
        <w:lastRenderedPageBreak/>
        <w:t>The $</w:t>
      </w:r>
      <w:r w:rsidR="00FC34E4">
        <w:rPr>
          <w:rFonts w:asciiTheme="majorHAnsi" w:hAnsiTheme="majorHAnsi" w:cstheme="majorHAnsi"/>
        </w:rPr>
        <w:t>901,579.45</w:t>
      </w:r>
      <w:r>
        <w:rPr>
          <w:rFonts w:asciiTheme="majorHAnsi" w:hAnsiTheme="majorHAnsi" w:cstheme="majorHAnsi"/>
        </w:rPr>
        <w:t xml:space="preserve"> County loan will be the last piece of financing necessary to produce 24 housing units affordable to </w:t>
      </w:r>
      <w:r w:rsidR="002D103B">
        <w:rPr>
          <w:rFonts w:asciiTheme="majorHAnsi" w:hAnsiTheme="majorHAnsi" w:cstheme="majorHAnsi"/>
        </w:rPr>
        <w:t xml:space="preserve">Extremely Low, Very </w:t>
      </w:r>
      <w:proofErr w:type="gramStart"/>
      <w:r w:rsidR="002D103B">
        <w:rPr>
          <w:rFonts w:asciiTheme="majorHAnsi" w:hAnsiTheme="majorHAnsi" w:cstheme="majorHAnsi"/>
        </w:rPr>
        <w:t>Low, and Low Income</w:t>
      </w:r>
      <w:proofErr w:type="gramEnd"/>
      <w:r w:rsidR="002D103B">
        <w:rPr>
          <w:rFonts w:asciiTheme="majorHAnsi" w:hAnsiTheme="majorHAnsi" w:cstheme="majorHAnsi"/>
        </w:rPr>
        <w:t xml:space="preserve"> households, including units dedicated to individuals and families experiencing chronic homelessness.</w:t>
      </w:r>
      <w:r w:rsidR="00DD01F2">
        <w:rPr>
          <w:rFonts w:asciiTheme="majorHAnsi" w:hAnsiTheme="majorHAnsi" w:cstheme="majorHAnsi"/>
        </w:rPr>
        <w:t xml:space="preserve"> We recommend that the County stipulate that the one one-bedroom and two two-bedroom 30% AMI units are dedicated as PSH units for this population. </w:t>
      </w:r>
      <w:r w:rsidR="0006377B">
        <w:rPr>
          <w:rFonts w:asciiTheme="majorHAnsi" w:hAnsiTheme="majorHAnsi" w:cstheme="majorHAnsi"/>
        </w:rPr>
        <w:t>We recommend that the County provide Behavioral Health and Case Management services to the residents of the PSH units.</w:t>
      </w:r>
    </w:p>
    <w:p w14:paraId="7B336126" w14:textId="77777777" w:rsidR="0006377B" w:rsidRDefault="0006377B">
      <w:pPr>
        <w:rPr>
          <w:rFonts w:asciiTheme="majorHAnsi" w:hAnsiTheme="majorHAnsi" w:cstheme="majorHAnsi"/>
        </w:rPr>
      </w:pPr>
    </w:p>
    <w:p w14:paraId="4BF06278" w14:textId="62EB629F" w:rsidR="000E5E8C" w:rsidRPr="000E5E8C" w:rsidRDefault="00DD01F2">
      <w:pPr>
        <w:rPr>
          <w:rFonts w:asciiTheme="majorHAnsi" w:hAnsiTheme="majorHAnsi" w:cstheme="majorHAnsi"/>
        </w:rPr>
      </w:pPr>
      <w:r>
        <w:rPr>
          <w:rFonts w:asciiTheme="majorHAnsi" w:hAnsiTheme="majorHAnsi" w:cstheme="majorHAnsi"/>
        </w:rPr>
        <w:t xml:space="preserve">The County’s per unit subsidy would be $37,500. </w:t>
      </w:r>
      <w:r w:rsidR="00427354">
        <w:rPr>
          <w:rFonts w:asciiTheme="majorHAnsi" w:hAnsiTheme="majorHAnsi" w:cstheme="majorHAnsi"/>
        </w:rPr>
        <w:t xml:space="preserve">The location of the project is ideal, near transit and a variety of services, in an area with a shortage of affordable housing. </w:t>
      </w:r>
      <w:r>
        <w:rPr>
          <w:rFonts w:asciiTheme="majorHAnsi" w:hAnsiTheme="majorHAnsi" w:cstheme="majorHAnsi"/>
        </w:rPr>
        <w:t>This project would provide much needed affordable housing for families and PSH units in Mount Shasta and the South County.</w:t>
      </w:r>
    </w:p>
    <w:p w14:paraId="1662549F" w14:textId="77777777" w:rsidR="00D56D6D" w:rsidRDefault="00D56D6D">
      <w:pPr>
        <w:rPr>
          <w:rFonts w:asciiTheme="minorHAnsi" w:hAnsiTheme="minorHAnsi" w:cstheme="minorHAnsi"/>
          <w:b/>
          <w:bCs/>
        </w:rPr>
      </w:pPr>
    </w:p>
    <w:p w14:paraId="0B657ED8" w14:textId="77777777" w:rsidR="00745460" w:rsidRDefault="00745460">
      <w:pPr>
        <w:rPr>
          <w:rFonts w:asciiTheme="minorHAnsi" w:hAnsiTheme="minorHAnsi" w:cstheme="minorHAnsi"/>
          <w:b/>
          <w:bCs/>
        </w:rPr>
      </w:pPr>
    </w:p>
    <w:p w14:paraId="3963A2EE" w14:textId="376ABC50" w:rsidR="00D56D6D" w:rsidRDefault="00D56D6D">
      <w:pPr>
        <w:rPr>
          <w:rFonts w:asciiTheme="minorHAnsi" w:hAnsiTheme="minorHAnsi" w:cstheme="minorHAnsi"/>
          <w:b/>
          <w:bCs/>
        </w:rPr>
      </w:pPr>
      <w:r>
        <w:rPr>
          <w:rFonts w:asciiTheme="minorHAnsi" w:hAnsiTheme="minorHAnsi" w:cstheme="minorHAnsi"/>
          <w:b/>
          <w:bCs/>
        </w:rPr>
        <w:t>Recommendation</w:t>
      </w:r>
    </w:p>
    <w:p w14:paraId="72305D48" w14:textId="77777777" w:rsidR="009113F7" w:rsidRDefault="009113F7">
      <w:pPr>
        <w:rPr>
          <w:rFonts w:asciiTheme="minorHAnsi" w:hAnsiTheme="minorHAnsi" w:cstheme="minorHAnsi"/>
          <w:b/>
          <w:bCs/>
        </w:rPr>
      </w:pPr>
    </w:p>
    <w:p w14:paraId="39B369BA" w14:textId="1E4BB501" w:rsidR="009113F7" w:rsidRPr="009113F7" w:rsidRDefault="009113F7">
      <w:pPr>
        <w:rPr>
          <w:rFonts w:asciiTheme="majorHAnsi" w:hAnsiTheme="majorHAnsi" w:cstheme="majorHAnsi"/>
        </w:rPr>
      </w:pPr>
      <w:r>
        <w:rPr>
          <w:rFonts w:asciiTheme="majorHAnsi" w:hAnsiTheme="majorHAnsi" w:cstheme="majorHAnsi"/>
        </w:rPr>
        <w:t>The $</w:t>
      </w:r>
      <w:r w:rsidR="00FC34E4">
        <w:rPr>
          <w:rFonts w:asciiTheme="majorHAnsi" w:hAnsiTheme="majorHAnsi" w:cstheme="majorHAnsi"/>
        </w:rPr>
        <w:t>901,579.45</w:t>
      </w:r>
      <w:r>
        <w:rPr>
          <w:rFonts w:asciiTheme="majorHAnsi" w:hAnsiTheme="majorHAnsi" w:cstheme="majorHAnsi"/>
        </w:rPr>
        <w:t xml:space="preserve"> in County funds, and the award of $1,342,600 in IIG funds, will help Mountain Townhomes increase its tie-breaker score from 53.367%, which was its score in the 2</w:t>
      </w:r>
      <w:r w:rsidRPr="009113F7">
        <w:rPr>
          <w:rFonts w:asciiTheme="majorHAnsi" w:hAnsiTheme="majorHAnsi" w:cstheme="majorHAnsi"/>
          <w:vertAlign w:val="superscript"/>
        </w:rPr>
        <w:t>nd</w:t>
      </w:r>
      <w:r>
        <w:rPr>
          <w:rFonts w:asciiTheme="majorHAnsi" w:hAnsiTheme="majorHAnsi" w:cstheme="majorHAnsi"/>
        </w:rPr>
        <w:t xml:space="preserve"> round of 2023, to 63.797% in the 1</w:t>
      </w:r>
      <w:r w:rsidRPr="009113F7">
        <w:rPr>
          <w:rFonts w:asciiTheme="majorHAnsi" w:hAnsiTheme="majorHAnsi" w:cstheme="majorHAnsi"/>
          <w:vertAlign w:val="superscript"/>
        </w:rPr>
        <w:t>st</w:t>
      </w:r>
      <w:r>
        <w:rPr>
          <w:rFonts w:asciiTheme="majorHAnsi" w:hAnsiTheme="majorHAnsi" w:cstheme="majorHAnsi"/>
        </w:rPr>
        <w:t xml:space="preserve"> round of 2024. In addition, qualifying as a Large Family Housing Type located in a High Resource area gives the project a competitive advantage. Given these factors, we recommend that the County commit a $</w:t>
      </w:r>
      <w:r w:rsidR="00FC34E4">
        <w:rPr>
          <w:rFonts w:asciiTheme="majorHAnsi" w:hAnsiTheme="majorHAnsi" w:cstheme="majorHAnsi"/>
        </w:rPr>
        <w:t>901,579.45</w:t>
      </w:r>
      <w:r>
        <w:rPr>
          <w:rFonts w:asciiTheme="majorHAnsi" w:hAnsiTheme="majorHAnsi" w:cstheme="majorHAnsi"/>
        </w:rPr>
        <w:t xml:space="preserve"> loan to the project from the 2020 PLHA allocation.</w:t>
      </w:r>
      <w:r w:rsidR="00851888">
        <w:rPr>
          <w:rFonts w:asciiTheme="majorHAnsi" w:hAnsiTheme="majorHAnsi" w:cstheme="majorHAnsi"/>
        </w:rPr>
        <w:t xml:space="preserve"> This subsidy amount should be sufficient for the project to be awarded tax credits. Should the project not get awarded tax credits in the first round of 2024, it would be able to apply in the second round. Competition from CDBG-DR funded projects should less</w:t>
      </w:r>
      <w:r w:rsidR="00E47F4E">
        <w:rPr>
          <w:rFonts w:asciiTheme="majorHAnsi" w:hAnsiTheme="majorHAnsi" w:cstheme="majorHAnsi"/>
        </w:rPr>
        <w:t>e</w:t>
      </w:r>
      <w:r w:rsidR="00851888">
        <w:rPr>
          <w:rFonts w:asciiTheme="majorHAnsi" w:hAnsiTheme="majorHAnsi" w:cstheme="majorHAnsi"/>
        </w:rPr>
        <w:t>n in the second round</w:t>
      </w:r>
      <w:r w:rsidR="00E47F4E">
        <w:rPr>
          <w:rFonts w:asciiTheme="majorHAnsi" w:hAnsiTheme="majorHAnsi" w:cstheme="majorHAnsi"/>
        </w:rPr>
        <w:t>.</w:t>
      </w:r>
      <w:r w:rsidR="009F48F6">
        <w:rPr>
          <w:rFonts w:asciiTheme="majorHAnsi" w:hAnsiTheme="majorHAnsi" w:cstheme="majorHAnsi"/>
        </w:rPr>
        <w:t xml:space="preserve"> Furthermore, the County could consider additional PLHA funding at that time.</w:t>
      </w:r>
    </w:p>
    <w:sectPr w:rsidR="009113F7" w:rsidRPr="009113F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7559" w14:textId="77777777" w:rsidR="00E2532C" w:rsidRDefault="00E2532C" w:rsidP="00E77AF7">
      <w:r>
        <w:separator/>
      </w:r>
    </w:p>
  </w:endnote>
  <w:endnote w:type="continuationSeparator" w:id="0">
    <w:p w14:paraId="6B1A9CAD" w14:textId="77777777" w:rsidR="00E2532C" w:rsidRDefault="00E2532C" w:rsidP="00E7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098344"/>
      <w:docPartObj>
        <w:docPartGallery w:val="Page Numbers (Bottom of Page)"/>
        <w:docPartUnique/>
      </w:docPartObj>
    </w:sdtPr>
    <w:sdtEndPr>
      <w:rPr>
        <w:rStyle w:val="PageNumber"/>
      </w:rPr>
    </w:sdtEndPr>
    <w:sdtContent>
      <w:p w14:paraId="0725A961" w14:textId="7F9F42E9" w:rsidR="00E77AF7" w:rsidRDefault="00E77AF7" w:rsidP="000937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32D517" w14:textId="77777777" w:rsidR="00E77AF7" w:rsidRDefault="00E77AF7" w:rsidP="00E77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1453975"/>
      <w:docPartObj>
        <w:docPartGallery w:val="Page Numbers (Bottom of Page)"/>
        <w:docPartUnique/>
      </w:docPartObj>
    </w:sdtPr>
    <w:sdtEndPr>
      <w:rPr>
        <w:rStyle w:val="PageNumber"/>
        <w:rFonts w:asciiTheme="majorHAnsi" w:hAnsiTheme="majorHAnsi" w:cstheme="majorHAnsi"/>
      </w:rPr>
    </w:sdtEndPr>
    <w:sdtContent>
      <w:p w14:paraId="3190CA0E" w14:textId="7E8A1B88" w:rsidR="00E77AF7" w:rsidRPr="00E77AF7" w:rsidRDefault="00E77AF7" w:rsidP="000937B4">
        <w:pPr>
          <w:pStyle w:val="Footer"/>
          <w:framePr w:wrap="none" w:vAnchor="text" w:hAnchor="margin" w:xAlign="right" w:y="1"/>
          <w:rPr>
            <w:rStyle w:val="PageNumber"/>
            <w:rFonts w:asciiTheme="majorHAnsi" w:hAnsiTheme="majorHAnsi" w:cstheme="majorHAnsi"/>
          </w:rPr>
        </w:pPr>
        <w:r w:rsidRPr="00E77AF7">
          <w:rPr>
            <w:rStyle w:val="PageNumber"/>
            <w:rFonts w:asciiTheme="majorHAnsi" w:hAnsiTheme="majorHAnsi" w:cstheme="majorHAnsi"/>
          </w:rPr>
          <w:fldChar w:fldCharType="begin"/>
        </w:r>
        <w:r w:rsidRPr="00E77AF7">
          <w:rPr>
            <w:rStyle w:val="PageNumber"/>
            <w:rFonts w:asciiTheme="majorHAnsi" w:hAnsiTheme="majorHAnsi" w:cstheme="majorHAnsi"/>
          </w:rPr>
          <w:instrText xml:space="preserve"> PAGE </w:instrText>
        </w:r>
        <w:r w:rsidRPr="00E77AF7">
          <w:rPr>
            <w:rStyle w:val="PageNumber"/>
            <w:rFonts w:asciiTheme="majorHAnsi" w:hAnsiTheme="majorHAnsi" w:cstheme="majorHAnsi"/>
          </w:rPr>
          <w:fldChar w:fldCharType="separate"/>
        </w:r>
        <w:r w:rsidRPr="00E77AF7">
          <w:rPr>
            <w:rStyle w:val="PageNumber"/>
            <w:rFonts w:asciiTheme="majorHAnsi" w:hAnsiTheme="majorHAnsi" w:cstheme="majorHAnsi"/>
            <w:noProof/>
          </w:rPr>
          <w:t>1</w:t>
        </w:r>
        <w:r w:rsidRPr="00E77AF7">
          <w:rPr>
            <w:rStyle w:val="PageNumber"/>
            <w:rFonts w:asciiTheme="majorHAnsi" w:hAnsiTheme="majorHAnsi" w:cstheme="majorHAnsi"/>
          </w:rPr>
          <w:fldChar w:fldCharType="end"/>
        </w:r>
      </w:p>
    </w:sdtContent>
  </w:sdt>
  <w:p w14:paraId="40D7CAED" w14:textId="77777777" w:rsidR="00E77AF7" w:rsidRDefault="00E77AF7" w:rsidP="00E77A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4465" w14:textId="77777777" w:rsidR="00E2532C" w:rsidRDefault="00E2532C" w:rsidP="00E77AF7">
      <w:r>
        <w:separator/>
      </w:r>
    </w:p>
  </w:footnote>
  <w:footnote w:type="continuationSeparator" w:id="0">
    <w:p w14:paraId="059D1089" w14:textId="77777777" w:rsidR="00E2532C" w:rsidRDefault="00E2532C" w:rsidP="00E77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04"/>
    <w:rsid w:val="00047327"/>
    <w:rsid w:val="0006377B"/>
    <w:rsid w:val="000A3E68"/>
    <w:rsid w:val="000C0FF3"/>
    <w:rsid w:val="000D070C"/>
    <w:rsid w:val="000E16D4"/>
    <w:rsid w:val="000E1E35"/>
    <w:rsid w:val="000E4161"/>
    <w:rsid w:val="000E41B7"/>
    <w:rsid w:val="000E5E8C"/>
    <w:rsid w:val="000F666B"/>
    <w:rsid w:val="00112B25"/>
    <w:rsid w:val="00175AF0"/>
    <w:rsid w:val="001925B9"/>
    <w:rsid w:val="001A55AF"/>
    <w:rsid w:val="001B5CAD"/>
    <w:rsid w:val="001C0D6B"/>
    <w:rsid w:val="001C31D7"/>
    <w:rsid w:val="00205933"/>
    <w:rsid w:val="002369F5"/>
    <w:rsid w:val="002460B7"/>
    <w:rsid w:val="00247321"/>
    <w:rsid w:val="002C3C64"/>
    <w:rsid w:val="002D103B"/>
    <w:rsid w:val="002F637E"/>
    <w:rsid w:val="00303D47"/>
    <w:rsid w:val="00355F3E"/>
    <w:rsid w:val="003D00E8"/>
    <w:rsid w:val="0041584C"/>
    <w:rsid w:val="00427354"/>
    <w:rsid w:val="00464DDA"/>
    <w:rsid w:val="004B32C7"/>
    <w:rsid w:val="005026F8"/>
    <w:rsid w:val="0058254A"/>
    <w:rsid w:val="00587FAB"/>
    <w:rsid w:val="005A6A3D"/>
    <w:rsid w:val="005C63CA"/>
    <w:rsid w:val="005D164A"/>
    <w:rsid w:val="005D4ED9"/>
    <w:rsid w:val="005E6E49"/>
    <w:rsid w:val="0061458A"/>
    <w:rsid w:val="00617813"/>
    <w:rsid w:val="00646929"/>
    <w:rsid w:val="00646CA4"/>
    <w:rsid w:val="00672070"/>
    <w:rsid w:val="006A7052"/>
    <w:rsid w:val="006E517B"/>
    <w:rsid w:val="006F50FC"/>
    <w:rsid w:val="00716550"/>
    <w:rsid w:val="00722F4C"/>
    <w:rsid w:val="00745460"/>
    <w:rsid w:val="00765459"/>
    <w:rsid w:val="00776916"/>
    <w:rsid w:val="007B4246"/>
    <w:rsid w:val="007C629E"/>
    <w:rsid w:val="008361A3"/>
    <w:rsid w:val="00851888"/>
    <w:rsid w:val="00851E96"/>
    <w:rsid w:val="008634CB"/>
    <w:rsid w:val="008805AE"/>
    <w:rsid w:val="008A4844"/>
    <w:rsid w:val="00902F9E"/>
    <w:rsid w:val="009113F7"/>
    <w:rsid w:val="00920007"/>
    <w:rsid w:val="00924207"/>
    <w:rsid w:val="00963CC2"/>
    <w:rsid w:val="009C13BC"/>
    <w:rsid w:val="009D021F"/>
    <w:rsid w:val="009F48F6"/>
    <w:rsid w:val="00A13027"/>
    <w:rsid w:val="00A2714F"/>
    <w:rsid w:val="00A46683"/>
    <w:rsid w:val="00A91F90"/>
    <w:rsid w:val="00B430F4"/>
    <w:rsid w:val="00BD3D00"/>
    <w:rsid w:val="00BE2BE6"/>
    <w:rsid w:val="00BF0072"/>
    <w:rsid w:val="00C04E72"/>
    <w:rsid w:val="00C164F4"/>
    <w:rsid w:val="00C22063"/>
    <w:rsid w:val="00C22492"/>
    <w:rsid w:val="00C32454"/>
    <w:rsid w:val="00C34CDA"/>
    <w:rsid w:val="00C5138D"/>
    <w:rsid w:val="00C57CA4"/>
    <w:rsid w:val="00C61B5A"/>
    <w:rsid w:val="00CB064A"/>
    <w:rsid w:val="00CC2E00"/>
    <w:rsid w:val="00CE6992"/>
    <w:rsid w:val="00CF5B7D"/>
    <w:rsid w:val="00D3026E"/>
    <w:rsid w:val="00D54284"/>
    <w:rsid w:val="00D56D6D"/>
    <w:rsid w:val="00D62033"/>
    <w:rsid w:val="00D90558"/>
    <w:rsid w:val="00D9277F"/>
    <w:rsid w:val="00D940C4"/>
    <w:rsid w:val="00DD01F2"/>
    <w:rsid w:val="00DD560E"/>
    <w:rsid w:val="00E06338"/>
    <w:rsid w:val="00E2532C"/>
    <w:rsid w:val="00E27E57"/>
    <w:rsid w:val="00E47F4E"/>
    <w:rsid w:val="00E77AF7"/>
    <w:rsid w:val="00E86C1A"/>
    <w:rsid w:val="00E90BB3"/>
    <w:rsid w:val="00EA7576"/>
    <w:rsid w:val="00ED2E95"/>
    <w:rsid w:val="00F07D04"/>
    <w:rsid w:val="00F33697"/>
    <w:rsid w:val="00FB72E3"/>
    <w:rsid w:val="00FC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9348"/>
  <w15:chartTrackingRefBased/>
  <w15:docId w15:val="{108C011F-55B4-8F44-9286-ECF0FF98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CDA"/>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CDA"/>
    <w:pPr>
      <w:ind w:left="720"/>
      <w:contextualSpacing/>
    </w:pPr>
    <w:rPr>
      <w:rFonts w:eastAsia="Times New Roman" w:cs="Times New Roman"/>
    </w:rPr>
  </w:style>
  <w:style w:type="table" w:styleId="TableGrid">
    <w:name w:val="Table Grid"/>
    <w:basedOn w:val="TableNormal"/>
    <w:uiPriority w:val="39"/>
    <w:rsid w:val="0092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7AF7"/>
    <w:pPr>
      <w:tabs>
        <w:tab w:val="center" w:pos="4680"/>
        <w:tab w:val="right" w:pos="9360"/>
      </w:tabs>
    </w:pPr>
  </w:style>
  <w:style w:type="character" w:customStyle="1" w:styleId="FooterChar">
    <w:name w:val="Footer Char"/>
    <w:basedOn w:val="DefaultParagraphFont"/>
    <w:link w:val="Footer"/>
    <w:uiPriority w:val="99"/>
    <w:rsid w:val="00E77AF7"/>
    <w:rPr>
      <w:rFonts w:ascii="Times New Roman" w:hAnsi="Times New Roman"/>
      <w:kern w:val="0"/>
      <w14:ligatures w14:val="none"/>
    </w:rPr>
  </w:style>
  <w:style w:type="character" w:styleId="PageNumber">
    <w:name w:val="page number"/>
    <w:basedOn w:val="DefaultParagraphFont"/>
    <w:uiPriority w:val="99"/>
    <w:semiHidden/>
    <w:unhideWhenUsed/>
    <w:rsid w:val="00E77AF7"/>
  </w:style>
  <w:style w:type="paragraph" w:styleId="Header">
    <w:name w:val="header"/>
    <w:basedOn w:val="Normal"/>
    <w:link w:val="HeaderChar"/>
    <w:uiPriority w:val="99"/>
    <w:unhideWhenUsed/>
    <w:rsid w:val="00E77AF7"/>
    <w:pPr>
      <w:tabs>
        <w:tab w:val="center" w:pos="4680"/>
        <w:tab w:val="right" w:pos="9360"/>
      </w:tabs>
    </w:pPr>
  </w:style>
  <w:style w:type="character" w:customStyle="1" w:styleId="HeaderChar">
    <w:name w:val="Header Char"/>
    <w:basedOn w:val="DefaultParagraphFont"/>
    <w:link w:val="Header"/>
    <w:uiPriority w:val="99"/>
    <w:rsid w:val="00E77AF7"/>
    <w:rPr>
      <w:rFonts w:ascii="Times New Roman" w:hAnsi="Times New Roman"/>
      <w:kern w:val="0"/>
      <w14:ligatures w14:val="none"/>
    </w:rPr>
  </w:style>
  <w:style w:type="paragraph" w:styleId="Revision">
    <w:name w:val="Revision"/>
    <w:hidden/>
    <w:uiPriority w:val="99"/>
    <w:semiHidden/>
    <w:rsid w:val="004B32C7"/>
    <w:rPr>
      <w:rFonts w:ascii="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7</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Coles</dc:creator>
  <cp:keywords/>
  <dc:description/>
  <cp:lastModifiedBy>Maddelyn Bryan</cp:lastModifiedBy>
  <cp:revision>66</cp:revision>
  <dcterms:created xsi:type="dcterms:W3CDTF">2024-01-22T15:41:00Z</dcterms:created>
  <dcterms:modified xsi:type="dcterms:W3CDTF">2024-01-30T20:12:00Z</dcterms:modified>
</cp:coreProperties>
</file>