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F3" w:rsidRDefault="00F53E92" w:rsidP="000460D2">
      <w:pPr>
        <w:jc w:val="center"/>
        <w:rPr>
          <w:sz w:val="28"/>
          <w:szCs w:val="28"/>
        </w:rPr>
      </w:pPr>
      <w:bookmarkStart w:id="0" w:name="_GoBack"/>
      <w:bookmarkEnd w:id="0"/>
      <w:r>
        <w:rPr>
          <w:b/>
          <w:sz w:val="28"/>
          <w:szCs w:val="28"/>
        </w:rPr>
        <w:t>MEMORANDUM</w:t>
      </w:r>
    </w:p>
    <w:p w:rsidR="00F53E92" w:rsidRDefault="00F53E92" w:rsidP="00F53E92">
      <w:pPr>
        <w:rPr>
          <w:sz w:val="28"/>
          <w:szCs w:val="28"/>
        </w:rPr>
      </w:pPr>
    </w:p>
    <w:p w:rsidR="00F53E92" w:rsidRPr="00F53E92" w:rsidRDefault="00F53E92" w:rsidP="00F53E92">
      <w:pPr>
        <w:rPr>
          <w:rFonts w:ascii="Arial" w:hAnsi="Arial" w:cs="Arial"/>
          <w:sz w:val="24"/>
          <w:szCs w:val="24"/>
        </w:rPr>
      </w:pPr>
      <w:r w:rsidRPr="00F53E92">
        <w:rPr>
          <w:rFonts w:ascii="Arial" w:hAnsi="Arial" w:cs="Arial"/>
          <w:sz w:val="24"/>
          <w:szCs w:val="24"/>
        </w:rPr>
        <w:t>Date:</w:t>
      </w:r>
      <w:r w:rsidRPr="00F53E92">
        <w:rPr>
          <w:rFonts w:ascii="Arial" w:hAnsi="Arial" w:cs="Arial"/>
          <w:sz w:val="24"/>
          <w:szCs w:val="24"/>
        </w:rPr>
        <w:tab/>
        <w:t>June 7, 2023</w:t>
      </w:r>
    </w:p>
    <w:p w:rsidR="00F53E92" w:rsidRPr="00F53E92" w:rsidRDefault="00F53E92" w:rsidP="00F53E92">
      <w:pPr>
        <w:rPr>
          <w:rFonts w:ascii="Arial" w:hAnsi="Arial" w:cs="Arial"/>
          <w:sz w:val="24"/>
          <w:szCs w:val="24"/>
        </w:rPr>
      </w:pPr>
      <w:r w:rsidRPr="00F53E92">
        <w:rPr>
          <w:rFonts w:ascii="Arial" w:hAnsi="Arial" w:cs="Arial"/>
          <w:sz w:val="24"/>
          <w:szCs w:val="24"/>
        </w:rPr>
        <w:t>To:</w:t>
      </w:r>
      <w:r w:rsidRPr="00F53E92">
        <w:rPr>
          <w:rFonts w:ascii="Arial" w:hAnsi="Arial" w:cs="Arial"/>
          <w:sz w:val="24"/>
          <w:szCs w:val="24"/>
        </w:rPr>
        <w:tab/>
        <w:t>Siskiyou County Board of Supervisors</w:t>
      </w:r>
    </w:p>
    <w:p w:rsidR="00F53E92" w:rsidRPr="00F53E92" w:rsidRDefault="00F53E92" w:rsidP="00F53E92">
      <w:pPr>
        <w:rPr>
          <w:rFonts w:ascii="Arial" w:hAnsi="Arial" w:cs="Arial"/>
          <w:sz w:val="24"/>
          <w:szCs w:val="24"/>
        </w:rPr>
      </w:pPr>
      <w:r w:rsidRPr="00F53E92">
        <w:rPr>
          <w:rFonts w:ascii="Arial" w:hAnsi="Arial" w:cs="Arial"/>
          <w:sz w:val="24"/>
          <w:szCs w:val="24"/>
        </w:rPr>
        <w:t>From: Bill Carroll, Deputy County Counsel</w:t>
      </w:r>
    </w:p>
    <w:p w:rsidR="00F53E92" w:rsidRPr="00F53E92" w:rsidRDefault="00F53E92" w:rsidP="00F53E92">
      <w:pPr>
        <w:rPr>
          <w:rFonts w:ascii="Arial" w:hAnsi="Arial" w:cs="Arial"/>
          <w:sz w:val="24"/>
          <w:szCs w:val="24"/>
        </w:rPr>
      </w:pPr>
      <w:r w:rsidRPr="00F53E92">
        <w:rPr>
          <w:rFonts w:ascii="Arial" w:hAnsi="Arial" w:cs="Arial"/>
          <w:sz w:val="24"/>
          <w:szCs w:val="24"/>
        </w:rPr>
        <w:t xml:space="preserve">Re:  </w:t>
      </w:r>
      <w:r w:rsidRPr="00F53E92">
        <w:rPr>
          <w:rFonts w:ascii="Arial" w:hAnsi="Arial" w:cs="Arial"/>
          <w:sz w:val="24"/>
          <w:szCs w:val="24"/>
        </w:rPr>
        <w:tab/>
      </w:r>
      <w:r w:rsidRPr="00F53E92">
        <w:rPr>
          <w:rFonts w:ascii="Arial" w:hAnsi="Arial" w:cs="Arial"/>
          <w:b/>
          <w:sz w:val="24"/>
          <w:szCs w:val="24"/>
        </w:rPr>
        <w:t>Amendment of ordinances regarding groundwater use and export</w:t>
      </w:r>
    </w:p>
    <w:p w:rsidR="00F53E92" w:rsidRDefault="00F53E92" w:rsidP="00F53E92">
      <w:pPr>
        <w:rPr>
          <w:sz w:val="28"/>
          <w:szCs w:val="28"/>
        </w:rPr>
      </w:pPr>
    </w:p>
    <w:p w:rsidR="00244572" w:rsidRPr="00244572" w:rsidRDefault="00244572" w:rsidP="00F53E92">
      <w:pPr>
        <w:rPr>
          <w:b/>
          <w:sz w:val="28"/>
          <w:szCs w:val="28"/>
          <w:u w:val="single"/>
        </w:rPr>
      </w:pPr>
      <w:r w:rsidRPr="00244572">
        <w:rPr>
          <w:b/>
          <w:sz w:val="28"/>
          <w:szCs w:val="28"/>
          <w:u w:val="single"/>
        </w:rPr>
        <w:t>Discussion</w:t>
      </w:r>
    </w:p>
    <w:p w:rsidR="00F53E92" w:rsidRDefault="00F53E92" w:rsidP="00F53E92">
      <w:pPr>
        <w:ind w:firstLine="720"/>
        <w:rPr>
          <w:rFonts w:ascii="Arial" w:hAnsi="Arial" w:cs="Arial"/>
          <w:sz w:val="24"/>
          <w:szCs w:val="24"/>
        </w:rPr>
      </w:pPr>
      <w:r w:rsidRPr="00F53E92">
        <w:rPr>
          <w:rFonts w:ascii="Arial" w:hAnsi="Arial" w:cs="Arial"/>
          <w:sz w:val="24"/>
          <w:szCs w:val="24"/>
        </w:rPr>
        <w:t>In relation to local groundwater regulation, County Counsel recommends the Board enact a proposed ordinance to repeal permitting requirements to export groundwater off-parcel.  Further, that the daily penalty for the use of groundwater for the cultivation of cannabis be amended from $5,000 to $2,500, and add a requirement that a person must be "knowing" of the wrongful use before a fine may be imposed.  The County has been enjoined from enforcing these code sections since September 3, 2021 by the United States District Court for the Eastern District of California and the County remains enjoined.  Repealing these code sections is recommended as part of the process of resolving extended litigation over these provisions.</w:t>
      </w:r>
    </w:p>
    <w:p w:rsidR="00F53E92" w:rsidRPr="00F53E92" w:rsidRDefault="00F53E92" w:rsidP="00F53E92">
      <w:pPr>
        <w:ind w:firstLine="720"/>
        <w:rPr>
          <w:rFonts w:ascii="Arial" w:hAnsi="Arial" w:cs="Arial"/>
          <w:sz w:val="24"/>
          <w:szCs w:val="24"/>
        </w:rPr>
      </w:pPr>
    </w:p>
    <w:p w:rsidR="00F53E92" w:rsidRDefault="00F53E92" w:rsidP="00F53E92">
      <w:pPr>
        <w:ind w:firstLine="720"/>
        <w:rPr>
          <w:rFonts w:ascii="Arial" w:hAnsi="Arial" w:cs="Arial"/>
          <w:sz w:val="24"/>
          <w:szCs w:val="24"/>
        </w:rPr>
      </w:pPr>
      <w:r w:rsidRPr="00F53E92">
        <w:rPr>
          <w:rFonts w:ascii="Arial" w:hAnsi="Arial" w:cs="Arial"/>
          <w:sz w:val="24"/>
          <w:szCs w:val="24"/>
        </w:rPr>
        <w:t>The corresponding code sections that would be repealed in relation to off-parcel exportation are Sections 3-13.101 through 3-13.109 (otherwise identified as Article 3.5 of Chapter 13 of Title 3 entitled "Administrative Permit Process for Groundwater Extraction).  The corresponding code sections that would be amended are Section 3-13.601 (amending the fine amount to $2,500) and Section 3-13.702 (adding the word "knowingly" to the prohibition against wasting groundwater).  A "redline" version and a "clean" version of the proposed ordinance are attached hereto.</w:t>
      </w:r>
    </w:p>
    <w:p w:rsidR="00DB0ED1" w:rsidRDefault="00DB0ED1" w:rsidP="00F53E92">
      <w:pPr>
        <w:ind w:firstLine="720"/>
        <w:rPr>
          <w:rFonts w:ascii="Arial" w:hAnsi="Arial" w:cs="Arial"/>
          <w:sz w:val="24"/>
          <w:szCs w:val="24"/>
        </w:rPr>
      </w:pPr>
    </w:p>
    <w:p w:rsidR="00244572" w:rsidRPr="00244572" w:rsidRDefault="00244572" w:rsidP="00244572">
      <w:pPr>
        <w:rPr>
          <w:rFonts w:ascii="Arial" w:hAnsi="Arial" w:cs="Arial"/>
          <w:b/>
          <w:sz w:val="24"/>
          <w:szCs w:val="24"/>
          <w:u w:val="single"/>
        </w:rPr>
      </w:pPr>
      <w:r w:rsidRPr="00244572">
        <w:rPr>
          <w:rFonts w:ascii="Arial" w:hAnsi="Arial" w:cs="Arial"/>
          <w:b/>
          <w:sz w:val="24"/>
          <w:szCs w:val="24"/>
          <w:u w:val="single"/>
        </w:rPr>
        <w:lastRenderedPageBreak/>
        <w:t>California Environmental Quality Act (CEQA)</w:t>
      </w:r>
    </w:p>
    <w:p w:rsidR="00DB0ED1" w:rsidRDefault="00DB0ED1" w:rsidP="00F53E92">
      <w:pPr>
        <w:ind w:firstLine="720"/>
        <w:rPr>
          <w:rFonts w:ascii="Arial" w:hAnsi="Arial" w:cs="Arial"/>
          <w:sz w:val="24"/>
          <w:szCs w:val="24"/>
        </w:rPr>
      </w:pPr>
      <w:r>
        <w:rPr>
          <w:rFonts w:ascii="Arial" w:hAnsi="Arial" w:cs="Arial"/>
          <w:sz w:val="24"/>
          <w:szCs w:val="24"/>
        </w:rPr>
        <w:t xml:space="preserve">The proposed </w:t>
      </w:r>
      <w:r w:rsidR="00D503DF">
        <w:rPr>
          <w:rFonts w:ascii="Arial" w:hAnsi="Arial" w:cs="Arial"/>
          <w:sz w:val="24"/>
          <w:szCs w:val="24"/>
        </w:rPr>
        <w:t>ordinance</w:t>
      </w:r>
      <w:r>
        <w:rPr>
          <w:rFonts w:ascii="Arial" w:hAnsi="Arial" w:cs="Arial"/>
          <w:sz w:val="24"/>
          <w:szCs w:val="24"/>
        </w:rPr>
        <w:t>, if it were to have any direct or indirect physical change on the environment</w:t>
      </w:r>
      <w:r w:rsidR="0074386B">
        <w:rPr>
          <w:rFonts w:ascii="Arial" w:hAnsi="Arial" w:cs="Arial"/>
          <w:sz w:val="24"/>
          <w:szCs w:val="24"/>
        </w:rPr>
        <w:t>,</w:t>
      </w:r>
      <w:r>
        <w:rPr>
          <w:rFonts w:ascii="Arial" w:hAnsi="Arial" w:cs="Arial"/>
          <w:sz w:val="24"/>
          <w:szCs w:val="24"/>
        </w:rPr>
        <w:t xml:space="preserve"> would come within the “common sense” exemption of CEQA (14 CCR 15061</w:t>
      </w:r>
      <w:r w:rsidR="00D503DF">
        <w:rPr>
          <w:rFonts w:ascii="Arial" w:hAnsi="Arial" w:cs="Arial"/>
          <w:sz w:val="24"/>
          <w:szCs w:val="24"/>
        </w:rPr>
        <w:t>(b)(3</w:t>
      </w:r>
      <w:r w:rsidR="00244572">
        <w:rPr>
          <w:rFonts w:ascii="Arial" w:hAnsi="Arial" w:cs="Arial"/>
          <w:sz w:val="24"/>
          <w:szCs w:val="24"/>
        </w:rPr>
        <w:t>)) in</w:t>
      </w:r>
      <w:r>
        <w:rPr>
          <w:rFonts w:ascii="Arial" w:hAnsi="Arial" w:cs="Arial"/>
          <w:sz w:val="24"/>
          <w:szCs w:val="24"/>
        </w:rPr>
        <w:t xml:space="preserve"> that the pro</w:t>
      </w:r>
      <w:r w:rsidR="00D503DF">
        <w:rPr>
          <w:rFonts w:ascii="Arial" w:hAnsi="Arial" w:cs="Arial"/>
          <w:sz w:val="24"/>
          <w:szCs w:val="24"/>
        </w:rPr>
        <w:t>po</w:t>
      </w:r>
      <w:r>
        <w:rPr>
          <w:rFonts w:ascii="Arial" w:hAnsi="Arial" w:cs="Arial"/>
          <w:sz w:val="24"/>
          <w:szCs w:val="24"/>
        </w:rPr>
        <w:t>sed change in the level of knowledge required before an offense is committed, and the amount of the fine thereafter,</w:t>
      </w:r>
      <w:r w:rsidR="00D503DF">
        <w:rPr>
          <w:rFonts w:ascii="Arial" w:hAnsi="Arial" w:cs="Arial"/>
          <w:sz w:val="24"/>
          <w:szCs w:val="24"/>
        </w:rPr>
        <w:t xml:space="preserve"> are only financial and effect the burden of proof in court</w:t>
      </w:r>
      <w:r w:rsidR="00244572">
        <w:rPr>
          <w:rFonts w:ascii="Arial" w:hAnsi="Arial" w:cs="Arial"/>
          <w:sz w:val="24"/>
          <w:szCs w:val="24"/>
        </w:rPr>
        <w:t xml:space="preserve"> and do not affect the physical environment</w:t>
      </w:r>
      <w:r w:rsidR="00D503DF">
        <w:rPr>
          <w:rFonts w:ascii="Arial" w:hAnsi="Arial" w:cs="Arial"/>
          <w:sz w:val="24"/>
          <w:szCs w:val="24"/>
        </w:rPr>
        <w:t>.  Further, the proposed repeal of the administrative permit ordinance established only an administrative overlay to an already ongoing usage.  Therefore, the ordinance</w:t>
      </w:r>
      <w:r>
        <w:rPr>
          <w:rFonts w:ascii="Arial" w:hAnsi="Arial" w:cs="Arial"/>
          <w:sz w:val="24"/>
          <w:szCs w:val="24"/>
        </w:rPr>
        <w:t xml:space="preserve"> </w:t>
      </w:r>
      <w:r w:rsidR="00D503DF">
        <w:rPr>
          <w:rFonts w:ascii="Arial" w:hAnsi="Arial" w:cs="Arial"/>
          <w:sz w:val="24"/>
          <w:szCs w:val="24"/>
        </w:rPr>
        <w:t>can be seen with certainty as having no significant</w:t>
      </w:r>
      <w:r>
        <w:rPr>
          <w:rFonts w:ascii="Arial" w:hAnsi="Arial" w:cs="Arial"/>
          <w:sz w:val="24"/>
          <w:szCs w:val="24"/>
        </w:rPr>
        <w:t xml:space="preserve"> </w:t>
      </w:r>
      <w:r w:rsidR="00D503DF">
        <w:rPr>
          <w:rFonts w:ascii="Arial" w:hAnsi="Arial" w:cs="Arial"/>
          <w:sz w:val="24"/>
          <w:szCs w:val="24"/>
        </w:rPr>
        <w:t xml:space="preserve">direct or indirect </w:t>
      </w:r>
      <w:r>
        <w:rPr>
          <w:rFonts w:ascii="Arial" w:hAnsi="Arial" w:cs="Arial"/>
          <w:sz w:val="24"/>
          <w:szCs w:val="24"/>
        </w:rPr>
        <w:t>effect on the environment.</w:t>
      </w:r>
    </w:p>
    <w:p w:rsidR="00DB0ED1" w:rsidRDefault="00DB0ED1" w:rsidP="00F53E92">
      <w:pPr>
        <w:ind w:firstLine="720"/>
        <w:rPr>
          <w:rFonts w:ascii="Arial" w:hAnsi="Arial" w:cs="Arial"/>
          <w:sz w:val="24"/>
          <w:szCs w:val="24"/>
        </w:rPr>
      </w:pPr>
    </w:p>
    <w:p w:rsidR="00DB0ED1" w:rsidRPr="00244572" w:rsidRDefault="00DB0ED1" w:rsidP="00DB0ED1">
      <w:pPr>
        <w:rPr>
          <w:rFonts w:ascii="Arial" w:hAnsi="Arial" w:cs="Arial"/>
          <w:b/>
          <w:sz w:val="24"/>
          <w:szCs w:val="24"/>
          <w:u w:val="single"/>
        </w:rPr>
      </w:pPr>
      <w:r w:rsidRPr="00244572">
        <w:rPr>
          <w:rFonts w:ascii="Arial" w:hAnsi="Arial" w:cs="Arial"/>
          <w:b/>
          <w:sz w:val="24"/>
          <w:szCs w:val="24"/>
          <w:u w:val="single"/>
        </w:rPr>
        <w:t>Recommended motion</w:t>
      </w:r>
    </w:p>
    <w:p w:rsidR="00DB0ED1" w:rsidRDefault="00DB0ED1" w:rsidP="00DB0ED1">
      <w:pPr>
        <w:rPr>
          <w:rFonts w:ascii="Arial" w:hAnsi="Arial" w:cs="Arial"/>
          <w:sz w:val="24"/>
          <w:szCs w:val="24"/>
        </w:rPr>
      </w:pPr>
      <w:r w:rsidRPr="00DB0ED1">
        <w:rPr>
          <w:rFonts w:ascii="Arial" w:hAnsi="Arial" w:cs="Arial"/>
          <w:sz w:val="24"/>
          <w:szCs w:val="24"/>
        </w:rPr>
        <w:t>That the Board</w:t>
      </w:r>
      <w:r w:rsidRPr="00DB0ED1">
        <w:rPr>
          <w:rFonts w:ascii="Arial" w:hAnsi="Arial" w:cs="Arial"/>
          <w:b/>
          <w:sz w:val="24"/>
          <w:szCs w:val="24"/>
        </w:rPr>
        <w:t>:</w:t>
      </w:r>
      <w:r w:rsidRPr="00DB0ED1">
        <w:rPr>
          <w:rFonts w:ascii="Arial" w:hAnsi="Arial" w:cs="Arial"/>
          <w:sz w:val="24"/>
          <w:szCs w:val="24"/>
        </w:rPr>
        <w:t xml:space="preserve"> </w:t>
      </w:r>
    </w:p>
    <w:p w:rsidR="00DB0ED1" w:rsidRDefault="00DB0ED1" w:rsidP="00DB0ED1">
      <w:pPr>
        <w:rPr>
          <w:rFonts w:ascii="Arial" w:hAnsi="Arial" w:cs="Arial"/>
          <w:sz w:val="24"/>
          <w:szCs w:val="24"/>
        </w:rPr>
      </w:pPr>
      <w:r w:rsidRPr="00DB0ED1">
        <w:rPr>
          <w:rFonts w:ascii="Arial" w:hAnsi="Arial" w:cs="Arial"/>
          <w:sz w:val="24"/>
          <w:szCs w:val="24"/>
        </w:rPr>
        <w:t xml:space="preserve">1.   Introduce, waive, and approve the first reading of an ordinance amending sections 3-13.601 and 3-13.702, and repealing Article 3.5 of Chapter 13 of Title 3, of the Siskiyou County Code regarding regulation of groundwater.  </w:t>
      </w:r>
    </w:p>
    <w:p w:rsidR="00DB0ED1" w:rsidRDefault="00DB0ED1" w:rsidP="00DB0ED1">
      <w:pPr>
        <w:rPr>
          <w:rFonts w:ascii="Arial" w:hAnsi="Arial" w:cs="Arial"/>
          <w:sz w:val="24"/>
          <w:szCs w:val="24"/>
        </w:rPr>
      </w:pPr>
      <w:r w:rsidRPr="00DB0ED1">
        <w:rPr>
          <w:rFonts w:ascii="Arial" w:hAnsi="Arial" w:cs="Arial"/>
          <w:sz w:val="24"/>
          <w:szCs w:val="24"/>
        </w:rPr>
        <w:t xml:space="preserve">2.  Find that the ordinance is exempt from the California </w:t>
      </w:r>
      <w:r w:rsidR="00211220" w:rsidRPr="00DB0ED1">
        <w:rPr>
          <w:rFonts w:ascii="Arial" w:hAnsi="Arial" w:cs="Arial"/>
          <w:sz w:val="24"/>
          <w:szCs w:val="24"/>
        </w:rPr>
        <w:t>Environmental</w:t>
      </w:r>
      <w:r w:rsidRPr="00DB0ED1">
        <w:rPr>
          <w:rFonts w:ascii="Arial" w:hAnsi="Arial" w:cs="Arial"/>
          <w:sz w:val="24"/>
          <w:szCs w:val="24"/>
        </w:rPr>
        <w:t xml:space="preserve"> Quality Act (CEQA) pursuant to Section 15061(b)(3). </w:t>
      </w:r>
    </w:p>
    <w:p w:rsidR="00DB0ED1" w:rsidRPr="00F53E92" w:rsidRDefault="00DB0ED1" w:rsidP="00DB0ED1">
      <w:pPr>
        <w:rPr>
          <w:rFonts w:ascii="Arial" w:hAnsi="Arial" w:cs="Arial"/>
          <w:sz w:val="24"/>
          <w:szCs w:val="24"/>
        </w:rPr>
      </w:pPr>
      <w:r w:rsidRPr="00DB0ED1">
        <w:rPr>
          <w:rFonts w:ascii="Arial" w:hAnsi="Arial" w:cs="Arial"/>
          <w:sz w:val="24"/>
          <w:szCs w:val="24"/>
        </w:rPr>
        <w:t xml:space="preserve">3.  Direct the clerk to schedule a public hearing on, and second reading of, the ordinance.    </w:t>
      </w:r>
    </w:p>
    <w:sectPr w:rsidR="00DB0ED1" w:rsidRPr="00F53E92" w:rsidSect="00891558">
      <w:headerReference w:type="default" r:id="rId7"/>
      <w:foot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08" w:rsidRDefault="00EB1708" w:rsidP="00FA0488">
      <w:pPr>
        <w:spacing w:after="0" w:line="240" w:lineRule="auto"/>
      </w:pPr>
      <w:r>
        <w:separator/>
      </w:r>
    </w:p>
  </w:endnote>
  <w:endnote w:type="continuationSeparator" w:id="0">
    <w:p w:rsidR="00EB1708" w:rsidRDefault="00EB1708" w:rsidP="00FA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27" w:rsidRDefault="00693327">
    <w:pPr>
      <w:pStyle w:val="Footer"/>
      <w:jc w:val="center"/>
    </w:pPr>
    <w:r>
      <w:fldChar w:fldCharType="begin"/>
    </w:r>
    <w:r>
      <w:instrText xml:space="preserve"> PAGE   \* MERGEFORMAT </w:instrText>
    </w:r>
    <w:r>
      <w:fldChar w:fldCharType="separate"/>
    </w:r>
    <w:r w:rsidR="000B2A29">
      <w:rPr>
        <w:noProof/>
      </w:rPr>
      <w:t>2</w:t>
    </w:r>
    <w:r>
      <w:rPr>
        <w:noProof/>
      </w:rPr>
      <w:fldChar w:fldCharType="end"/>
    </w:r>
  </w:p>
  <w:p w:rsidR="00693327" w:rsidRDefault="0069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58" w:rsidRDefault="00891558">
    <w:pPr>
      <w:pStyle w:val="Footer"/>
      <w:jc w:val="center"/>
    </w:pPr>
    <w:r>
      <w:fldChar w:fldCharType="begin"/>
    </w:r>
    <w:r>
      <w:instrText xml:space="preserve"> PAGE   \* MERGEFORMAT </w:instrText>
    </w:r>
    <w:r>
      <w:fldChar w:fldCharType="separate"/>
    </w:r>
    <w:r w:rsidR="000B2A29">
      <w:rPr>
        <w:noProof/>
      </w:rPr>
      <w:t>1</w:t>
    </w:r>
    <w:r>
      <w:rPr>
        <w:noProof/>
      </w:rPr>
      <w:fldChar w:fldCharType="end"/>
    </w:r>
  </w:p>
  <w:p w:rsidR="00891558" w:rsidRDefault="0089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08" w:rsidRDefault="00EB1708" w:rsidP="00FA0488">
      <w:pPr>
        <w:spacing w:after="0" w:line="240" w:lineRule="auto"/>
      </w:pPr>
      <w:r>
        <w:separator/>
      </w:r>
    </w:p>
  </w:footnote>
  <w:footnote w:type="continuationSeparator" w:id="0">
    <w:p w:rsidR="00EB1708" w:rsidRDefault="00EB1708" w:rsidP="00FA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FA0488" w:rsidRPr="00EA12D1" w:rsidTr="001E251B">
      <w:tc>
        <w:tcPr>
          <w:tcW w:w="3116" w:type="dxa"/>
          <w:shd w:val="clear" w:color="auto" w:fill="auto"/>
        </w:tcPr>
        <w:p w:rsidR="00FA0488" w:rsidRPr="00EA12D1" w:rsidRDefault="00FA0488" w:rsidP="00FA0488">
          <w:pPr>
            <w:pStyle w:val="Header"/>
            <w:rPr>
              <w:sz w:val="12"/>
              <w:szCs w:val="12"/>
            </w:rPr>
          </w:pPr>
        </w:p>
      </w:tc>
      <w:tc>
        <w:tcPr>
          <w:tcW w:w="3117" w:type="dxa"/>
          <w:shd w:val="clear" w:color="auto" w:fill="auto"/>
        </w:tcPr>
        <w:p w:rsidR="00FA0488" w:rsidRPr="00EA12D1" w:rsidRDefault="00FA0488" w:rsidP="00EA12D1">
          <w:pPr>
            <w:pStyle w:val="Header"/>
            <w:jc w:val="center"/>
            <w:rPr>
              <w:sz w:val="16"/>
              <w:szCs w:val="16"/>
            </w:rPr>
          </w:pPr>
        </w:p>
      </w:tc>
      <w:tc>
        <w:tcPr>
          <w:tcW w:w="3117" w:type="dxa"/>
          <w:shd w:val="clear" w:color="auto" w:fill="auto"/>
        </w:tcPr>
        <w:p w:rsidR="00FA0488" w:rsidRPr="00EA12D1" w:rsidRDefault="00FA0488" w:rsidP="00EA12D1">
          <w:pPr>
            <w:pStyle w:val="Header"/>
            <w:jc w:val="right"/>
            <w:rPr>
              <w:rFonts w:ascii="Arial" w:hAnsi="Arial" w:cs="Arial"/>
              <w:sz w:val="12"/>
              <w:szCs w:val="12"/>
            </w:rPr>
          </w:pPr>
        </w:p>
      </w:tc>
    </w:tr>
    <w:tr w:rsidR="00FA0488" w:rsidRPr="00EA12D1" w:rsidTr="001E251B">
      <w:tc>
        <w:tcPr>
          <w:tcW w:w="9350" w:type="dxa"/>
          <w:gridSpan w:val="3"/>
          <w:shd w:val="clear" w:color="auto" w:fill="auto"/>
        </w:tcPr>
        <w:p w:rsidR="00FA0488" w:rsidRPr="00EA12D1" w:rsidRDefault="00FA0488" w:rsidP="00EA12D1">
          <w:pPr>
            <w:pStyle w:val="Header"/>
            <w:jc w:val="center"/>
            <w:rPr>
              <w:sz w:val="20"/>
              <w:szCs w:val="20"/>
            </w:rPr>
          </w:pPr>
        </w:p>
      </w:tc>
    </w:tr>
  </w:tbl>
  <w:p w:rsidR="00FA0488" w:rsidRPr="00FA0488" w:rsidRDefault="00FA0488" w:rsidP="00FA0488">
    <w:pPr>
      <w:pStyle w:val="Header"/>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891558" w:rsidRPr="00891558" w:rsidTr="00EE6D4D">
      <w:tc>
        <w:tcPr>
          <w:tcW w:w="3116" w:type="dxa"/>
          <w:shd w:val="clear" w:color="auto" w:fill="auto"/>
        </w:tcPr>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NATALIE E. REED</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DANA L. BARTON</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WILLIAM M. CARROLL</w:t>
          </w:r>
        </w:p>
        <w:p w:rsid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4D4C96" w:rsidRDefault="004D4C96" w:rsidP="00891558">
          <w:pPr>
            <w:tabs>
              <w:tab w:val="center" w:pos="4680"/>
              <w:tab w:val="right" w:pos="9360"/>
            </w:tabs>
            <w:spacing w:after="0" w:line="240" w:lineRule="auto"/>
            <w:rPr>
              <w:rFonts w:ascii="Arial" w:hAnsi="Arial" w:cs="Arial"/>
              <w:sz w:val="12"/>
              <w:szCs w:val="12"/>
            </w:rPr>
          </w:pPr>
        </w:p>
        <w:p w:rsidR="004D4C96" w:rsidRPr="00891558" w:rsidRDefault="004D4C96" w:rsidP="004D4C96">
          <w:pPr>
            <w:tabs>
              <w:tab w:val="center" w:pos="4680"/>
              <w:tab w:val="right" w:pos="9360"/>
            </w:tabs>
            <w:spacing w:after="0" w:line="240" w:lineRule="auto"/>
            <w:rPr>
              <w:rFonts w:ascii="Arial" w:hAnsi="Arial" w:cs="Arial"/>
              <w:b/>
              <w:sz w:val="18"/>
              <w:szCs w:val="18"/>
            </w:rPr>
          </w:pPr>
          <w:r>
            <w:rPr>
              <w:rFonts w:ascii="Arial" w:hAnsi="Arial" w:cs="Arial"/>
              <w:b/>
              <w:sz w:val="18"/>
              <w:szCs w:val="18"/>
            </w:rPr>
            <w:t>JAMES PHELPS</w:t>
          </w:r>
        </w:p>
        <w:p w:rsidR="004D4C96" w:rsidRPr="00891558" w:rsidRDefault="004D4C96" w:rsidP="004D4C96">
          <w:pPr>
            <w:tabs>
              <w:tab w:val="center" w:pos="4680"/>
              <w:tab w:val="right" w:pos="9360"/>
            </w:tabs>
            <w:spacing w:after="0" w:line="240" w:lineRule="auto"/>
            <w:rPr>
              <w:sz w:val="12"/>
              <w:szCs w:val="12"/>
            </w:rPr>
          </w:pPr>
          <w:r w:rsidRPr="00891558">
            <w:rPr>
              <w:rFonts w:ascii="Arial" w:hAnsi="Arial" w:cs="Arial"/>
              <w:sz w:val="12"/>
              <w:szCs w:val="12"/>
            </w:rPr>
            <w:t>DEPUTY COUNTY COUNSEL</w:t>
          </w:r>
        </w:p>
      </w:tc>
      <w:tc>
        <w:tcPr>
          <w:tcW w:w="3117" w:type="dxa"/>
          <w:shd w:val="clear" w:color="auto" w:fill="auto"/>
        </w:tcPr>
        <w:p w:rsidR="00891558" w:rsidRPr="00891558" w:rsidRDefault="000B2A29" w:rsidP="00891558">
          <w:pPr>
            <w:tabs>
              <w:tab w:val="center" w:pos="4680"/>
              <w:tab w:val="right" w:pos="9360"/>
            </w:tabs>
            <w:spacing w:after="0" w:line="240" w:lineRule="auto"/>
            <w:jc w:val="center"/>
            <w:rPr>
              <w:sz w:val="16"/>
              <w:szCs w:val="16"/>
            </w:rPr>
          </w:pPr>
          <w:r w:rsidRPr="00891558">
            <w:rPr>
              <w:noProof/>
            </w:rPr>
            <w:drawing>
              <wp:anchor distT="0" distB="0" distL="114300" distR="114300" simplePos="0" relativeHeight="251657728" behindDoc="1" locked="0" layoutInCell="1" allowOverlap="1">
                <wp:simplePos x="0" y="0"/>
                <wp:positionH relativeFrom="column">
                  <wp:align>center</wp:align>
                </wp:positionH>
                <wp:positionV relativeFrom="page">
                  <wp:posOffset>3175</wp:posOffset>
                </wp:positionV>
                <wp:extent cx="1234440" cy="1161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269" b="-8226"/>
                        <a:stretch>
                          <a:fillRect/>
                        </a:stretch>
                      </pic:blipFill>
                      <pic:spPr bwMode="auto">
                        <a:xfrm>
                          <a:off x="0" y="0"/>
                          <a:ext cx="1234440"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7" w:type="dxa"/>
          <w:shd w:val="clear" w:color="auto" w:fill="auto"/>
        </w:tcPr>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PHONE: (530) 842-8100</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FAX: (530) 842-8249</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r w:rsidRPr="00891558">
            <w:rPr>
              <w:rFonts w:ascii="Arial" w:hAnsi="Arial" w:cs="Arial"/>
              <w:b/>
              <w:sz w:val="18"/>
              <w:szCs w:val="18"/>
            </w:rPr>
            <w:t>LISA ROBUSTELLINI</w:t>
          </w:r>
        </w:p>
        <w:p w:rsidR="00891558" w:rsidRPr="00891558" w:rsidRDefault="00891558" w:rsidP="00891558">
          <w:pPr>
            <w:tabs>
              <w:tab w:val="center" w:pos="4680"/>
              <w:tab w:val="right" w:pos="9360"/>
            </w:tabs>
            <w:spacing w:after="0" w:line="240" w:lineRule="auto"/>
            <w:jc w:val="right"/>
            <w:rPr>
              <w:rFonts w:ascii="Arial" w:hAnsi="Arial" w:cs="Arial"/>
              <w:sz w:val="12"/>
              <w:szCs w:val="12"/>
            </w:rPr>
          </w:pPr>
          <w:r w:rsidRPr="00891558">
            <w:rPr>
              <w:rFonts w:ascii="Arial" w:hAnsi="Arial" w:cs="Arial"/>
              <w:sz w:val="12"/>
              <w:szCs w:val="12"/>
            </w:rPr>
            <w:t>EXECUTIVE LEGAL ASSISTANT</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A57A16" w:rsidRDefault="00907395"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KIRA WILSON</w:t>
          </w:r>
        </w:p>
        <w:p w:rsidR="00A57A16" w:rsidRDefault="00A57A16"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STAFF SERVICES ANALYST</w:t>
          </w:r>
        </w:p>
        <w:p w:rsidR="002F1590" w:rsidRDefault="002F1590" w:rsidP="00891558">
          <w:pPr>
            <w:tabs>
              <w:tab w:val="center" w:pos="4680"/>
              <w:tab w:val="right" w:pos="9360"/>
            </w:tabs>
            <w:spacing w:after="0" w:line="240" w:lineRule="auto"/>
            <w:jc w:val="right"/>
            <w:rPr>
              <w:rFonts w:ascii="Arial" w:hAnsi="Arial" w:cs="Arial"/>
              <w:sz w:val="12"/>
              <w:szCs w:val="12"/>
            </w:rPr>
          </w:pPr>
        </w:p>
        <w:p w:rsidR="002F1590" w:rsidRPr="002F1590" w:rsidRDefault="002C6918"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RENEE DICKERSON</w:t>
          </w:r>
        </w:p>
        <w:p w:rsidR="002F1590" w:rsidRPr="00891558" w:rsidRDefault="002F1590"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LEGAL OFFICE COORDINATOR</w:t>
          </w:r>
        </w:p>
      </w:tc>
    </w:tr>
    <w:tr w:rsidR="00891558" w:rsidRPr="00891558" w:rsidTr="00EE6D4D">
      <w:tc>
        <w:tcPr>
          <w:tcW w:w="9350" w:type="dxa"/>
          <w:gridSpan w:val="3"/>
          <w:shd w:val="clear" w:color="auto" w:fill="auto"/>
        </w:tcPr>
        <w:p w:rsidR="00891558" w:rsidRPr="00891558" w:rsidRDefault="00891558" w:rsidP="00891558">
          <w:pPr>
            <w:tabs>
              <w:tab w:val="center" w:pos="4680"/>
              <w:tab w:val="right" w:pos="9360"/>
            </w:tabs>
            <w:spacing w:after="0" w:line="240" w:lineRule="auto"/>
            <w:jc w:val="center"/>
            <w:rPr>
              <w:rFonts w:ascii="Arial" w:hAnsi="Arial" w:cs="Arial"/>
              <w:sz w:val="32"/>
              <w:szCs w:val="32"/>
            </w:rPr>
          </w:pPr>
          <w:r w:rsidRPr="00891558">
            <w:rPr>
              <w:rFonts w:ascii="Arial" w:hAnsi="Arial" w:cs="Arial"/>
              <w:sz w:val="32"/>
              <w:szCs w:val="32"/>
            </w:rPr>
            <w:t>Office of County Counsel</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r w:rsidRPr="00891558">
            <w:rPr>
              <w:rFonts w:ascii="Arial" w:hAnsi="Arial" w:cs="Arial"/>
              <w:b/>
              <w:sz w:val="20"/>
              <w:szCs w:val="20"/>
            </w:rPr>
            <w:t>COUNTY OF SISKIYOU</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p>
        <w:p w:rsidR="00891558" w:rsidRPr="00891558" w:rsidRDefault="00891558" w:rsidP="00891558">
          <w:pPr>
            <w:tabs>
              <w:tab w:val="center" w:pos="4680"/>
              <w:tab w:val="right" w:pos="9360"/>
            </w:tabs>
            <w:spacing w:after="0" w:line="240" w:lineRule="auto"/>
            <w:jc w:val="center"/>
            <w:rPr>
              <w:rFonts w:ascii="Arial" w:hAnsi="Arial" w:cs="Arial"/>
              <w:b/>
              <w:sz w:val="16"/>
              <w:szCs w:val="16"/>
            </w:rPr>
          </w:pPr>
          <w:r w:rsidRPr="00891558">
            <w:rPr>
              <w:rFonts w:ascii="Arial" w:hAnsi="Arial" w:cs="Arial"/>
              <w:b/>
              <w:sz w:val="16"/>
              <w:szCs w:val="16"/>
            </w:rPr>
            <w:t>P.O. Box 659 * 1312 Fairlane Rd.</w:t>
          </w:r>
          <w:r w:rsidR="0069787F">
            <w:rPr>
              <w:rFonts w:ascii="Arial" w:hAnsi="Arial" w:cs="Arial"/>
              <w:b/>
              <w:sz w:val="16"/>
              <w:szCs w:val="16"/>
            </w:rPr>
            <w:t>, Suite 6</w:t>
          </w:r>
        </w:p>
        <w:p w:rsidR="00891558" w:rsidRPr="00891558" w:rsidRDefault="00891558" w:rsidP="00891558">
          <w:pPr>
            <w:tabs>
              <w:tab w:val="center" w:pos="4680"/>
              <w:tab w:val="right" w:pos="9360"/>
            </w:tabs>
            <w:spacing w:after="0" w:line="240" w:lineRule="auto"/>
            <w:jc w:val="center"/>
            <w:rPr>
              <w:sz w:val="20"/>
              <w:szCs w:val="20"/>
            </w:rPr>
          </w:pPr>
          <w:r w:rsidRPr="00891558">
            <w:rPr>
              <w:rFonts w:ascii="Arial" w:hAnsi="Arial" w:cs="Arial"/>
              <w:b/>
              <w:sz w:val="16"/>
              <w:szCs w:val="16"/>
            </w:rPr>
            <w:t>Yreka, California 96097</w:t>
          </w:r>
        </w:p>
      </w:tc>
    </w:tr>
  </w:tbl>
  <w:p w:rsidR="00891558" w:rsidRDefault="00891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88"/>
    <w:rsid w:val="00040824"/>
    <w:rsid w:val="000460D2"/>
    <w:rsid w:val="00050DEB"/>
    <w:rsid w:val="000547E5"/>
    <w:rsid w:val="000626F3"/>
    <w:rsid w:val="000B2A29"/>
    <w:rsid w:val="000E2651"/>
    <w:rsid w:val="0016329D"/>
    <w:rsid w:val="001E251B"/>
    <w:rsid w:val="00211220"/>
    <w:rsid w:val="00242538"/>
    <w:rsid w:val="00244572"/>
    <w:rsid w:val="002951B2"/>
    <w:rsid w:val="002C6918"/>
    <w:rsid w:val="002F1590"/>
    <w:rsid w:val="00302CCC"/>
    <w:rsid w:val="0036243D"/>
    <w:rsid w:val="003A69CD"/>
    <w:rsid w:val="00421F04"/>
    <w:rsid w:val="004359C7"/>
    <w:rsid w:val="004D4C96"/>
    <w:rsid w:val="004F48AA"/>
    <w:rsid w:val="005C76F4"/>
    <w:rsid w:val="00693327"/>
    <w:rsid w:val="0069787F"/>
    <w:rsid w:val="006A3F00"/>
    <w:rsid w:val="006B48DD"/>
    <w:rsid w:val="0074386B"/>
    <w:rsid w:val="00756E7A"/>
    <w:rsid w:val="00891558"/>
    <w:rsid w:val="0089481A"/>
    <w:rsid w:val="008A5EB4"/>
    <w:rsid w:val="008D33EB"/>
    <w:rsid w:val="008D5468"/>
    <w:rsid w:val="00907395"/>
    <w:rsid w:val="00A1293A"/>
    <w:rsid w:val="00A33F04"/>
    <w:rsid w:val="00A44BAE"/>
    <w:rsid w:val="00A57A16"/>
    <w:rsid w:val="00B2794A"/>
    <w:rsid w:val="00BC4000"/>
    <w:rsid w:val="00C137A9"/>
    <w:rsid w:val="00C351D5"/>
    <w:rsid w:val="00C438AF"/>
    <w:rsid w:val="00CD0097"/>
    <w:rsid w:val="00D503DF"/>
    <w:rsid w:val="00D608E9"/>
    <w:rsid w:val="00DB0ED1"/>
    <w:rsid w:val="00E40FFC"/>
    <w:rsid w:val="00E735F0"/>
    <w:rsid w:val="00EA12D1"/>
    <w:rsid w:val="00EB1708"/>
    <w:rsid w:val="00EE6D4D"/>
    <w:rsid w:val="00F27DD7"/>
    <w:rsid w:val="00F53E92"/>
    <w:rsid w:val="00FA0488"/>
    <w:rsid w:val="00FB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9D251DB-3A82-4539-B321-E2AC872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88"/>
  </w:style>
  <w:style w:type="paragraph" w:styleId="Footer">
    <w:name w:val="footer"/>
    <w:basedOn w:val="Normal"/>
    <w:link w:val="FooterChar"/>
    <w:uiPriority w:val="99"/>
    <w:unhideWhenUsed/>
    <w:rsid w:val="00FA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88"/>
  </w:style>
  <w:style w:type="table" w:styleId="TableGrid">
    <w:name w:val="Table Grid"/>
    <w:basedOn w:val="TableNormal"/>
    <w:uiPriority w:val="39"/>
    <w:rsid w:val="00FA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13212-9033-444C-B855-18523C6F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Croteau</dc:creator>
  <cp:keywords/>
  <dc:description/>
  <cp:lastModifiedBy>Lisa Robustellini</cp:lastModifiedBy>
  <cp:revision>2</cp:revision>
  <cp:lastPrinted>2023-06-07T14:45:00Z</cp:lastPrinted>
  <dcterms:created xsi:type="dcterms:W3CDTF">2023-06-21T21:56:00Z</dcterms:created>
  <dcterms:modified xsi:type="dcterms:W3CDTF">2023-06-21T21:56:00Z</dcterms:modified>
</cp:coreProperties>
</file>