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F8E8A" w14:textId="77777777" w:rsidR="009741E2" w:rsidRPr="00326140" w:rsidRDefault="00254979" w:rsidP="009741E2">
      <w:pPr>
        <w:pStyle w:val="Heading1"/>
        <w:tabs>
          <w:tab w:val="right" w:pos="10800"/>
        </w:tabs>
        <w:ind w:left="360" w:right="475"/>
        <w:jc w:val="center"/>
        <w:rPr>
          <w:rFonts w:ascii="Arial" w:hAnsi="Arial" w:cs="Arial"/>
          <w:b w:val="0"/>
          <w:noProof/>
          <w:sz w:val="24"/>
          <w:szCs w:val="24"/>
        </w:rPr>
      </w:pPr>
      <w:bookmarkStart w:id="0" w:name="_GoBack"/>
      <w:bookmarkEnd w:id="0"/>
      <w:r w:rsidRPr="00326140">
        <w:rPr>
          <w:rFonts w:ascii="Arial" w:hAnsi="Arial" w:cs="Arial"/>
          <w:b w:val="0"/>
          <w:noProof/>
          <w:sz w:val="24"/>
          <w:szCs w:val="24"/>
        </w:rPr>
        <w:drawing>
          <wp:anchor distT="0" distB="0" distL="114300" distR="114300" simplePos="0" relativeHeight="251657728" behindDoc="1" locked="0" layoutInCell="1" allowOverlap="1" wp14:anchorId="31647301" wp14:editId="759CB18C">
            <wp:simplePos x="0" y="0"/>
            <wp:positionH relativeFrom="margin">
              <wp:posOffset>-17145</wp:posOffset>
            </wp:positionH>
            <wp:positionV relativeFrom="page">
              <wp:posOffset>351790</wp:posOffset>
            </wp:positionV>
            <wp:extent cx="914400" cy="711200"/>
            <wp:effectExtent l="0" t="0" r="0" b="0"/>
            <wp:wrapNone/>
            <wp:docPr id="18" name="Picture 18" descr="logo_CDPH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_CDPH_v[1]"/>
                    <pic:cNvPicPr>
                      <a:picLocks noChangeAspect="1" noChangeArrowheads="1"/>
                    </pic:cNvPicPr>
                  </pic:nvPicPr>
                  <pic:blipFill>
                    <a:blip r:embed="rId11">
                      <a:extLst>
                        <a:ext uri="{28A0092B-C50C-407E-A947-70E740481C1C}">
                          <a14:useLocalDpi xmlns:a14="http://schemas.microsoft.com/office/drawing/2010/main" val="0"/>
                        </a:ext>
                      </a:extLst>
                    </a:blip>
                    <a:srcRect t="890"/>
                    <a:stretch>
                      <a:fillRect/>
                    </a:stretch>
                  </pic:blipFill>
                  <pic:spPr bwMode="auto">
                    <a:xfrm>
                      <a:off x="0" y="0"/>
                      <a:ext cx="914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C4B62" w14:textId="77777777" w:rsidR="00F54DD2" w:rsidRPr="00326140" w:rsidRDefault="00D0048D" w:rsidP="009741E2">
      <w:pPr>
        <w:pStyle w:val="Heading1"/>
        <w:tabs>
          <w:tab w:val="right" w:pos="10800"/>
        </w:tabs>
        <w:ind w:left="360" w:right="475"/>
        <w:jc w:val="center"/>
        <w:rPr>
          <w:rFonts w:ascii="Arial" w:hAnsi="Arial" w:cs="Arial"/>
          <w:b w:val="0"/>
          <w:noProof/>
          <w:sz w:val="24"/>
          <w:szCs w:val="24"/>
        </w:rPr>
      </w:pPr>
      <w:r w:rsidRPr="00326140">
        <w:rPr>
          <w:rFonts w:ascii="Arial" w:hAnsi="Arial" w:cs="Arial"/>
          <w:b w:val="0"/>
          <w:noProof/>
          <w:sz w:val="24"/>
          <w:szCs w:val="24"/>
        </w:rPr>
        <w:t xml:space="preserve">California </w:t>
      </w:r>
      <w:r w:rsidR="00F54DD2" w:rsidRPr="00326140">
        <w:rPr>
          <w:rFonts w:ascii="Arial" w:hAnsi="Arial" w:cs="Arial"/>
          <w:b w:val="0"/>
          <w:noProof/>
          <w:sz w:val="24"/>
          <w:szCs w:val="24"/>
        </w:rPr>
        <w:t xml:space="preserve">Department of </w:t>
      </w:r>
      <w:r w:rsidR="0004186D" w:rsidRPr="00326140">
        <w:rPr>
          <w:rFonts w:ascii="Arial" w:hAnsi="Arial" w:cs="Arial"/>
          <w:b w:val="0"/>
          <w:noProof/>
          <w:sz w:val="24"/>
          <w:szCs w:val="24"/>
        </w:rPr>
        <w:t xml:space="preserve">Public </w:t>
      </w:r>
      <w:r w:rsidR="00F54DD2" w:rsidRPr="00326140">
        <w:rPr>
          <w:rFonts w:ascii="Arial" w:hAnsi="Arial" w:cs="Arial"/>
          <w:b w:val="0"/>
          <w:noProof/>
          <w:sz w:val="24"/>
          <w:szCs w:val="24"/>
        </w:rPr>
        <w:t>Health</w:t>
      </w:r>
    </w:p>
    <w:p w14:paraId="36749CD5" w14:textId="6A0E48BA" w:rsidR="00F54DD2" w:rsidRDefault="00F54DD2" w:rsidP="00F54DD2">
      <w:pPr>
        <w:pStyle w:val="Heading1"/>
        <w:tabs>
          <w:tab w:val="right" w:pos="10800"/>
        </w:tabs>
        <w:ind w:left="360" w:right="480"/>
        <w:jc w:val="center"/>
        <w:rPr>
          <w:rFonts w:ascii="Arial" w:hAnsi="Arial" w:cs="Arial"/>
          <w:caps/>
          <w:noProof/>
          <w:spacing w:val="60"/>
          <w:sz w:val="24"/>
          <w:szCs w:val="24"/>
        </w:rPr>
      </w:pPr>
      <w:r w:rsidRPr="00326140">
        <w:rPr>
          <w:rFonts w:ascii="Arial" w:hAnsi="Arial" w:cs="Arial"/>
          <w:caps/>
          <w:noProof/>
          <w:spacing w:val="60"/>
          <w:sz w:val="24"/>
          <w:szCs w:val="24"/>
        </w:rPr>
        <w:t>memorandum</w:t>
      </w:r>
    </w:p>
    <w:p w14:paraId="410904C7" w14:textId="12090DC7" w:rsidR="008B0E12" w:rsidRDefault="008B0E12" w:rsidP="008B0E12"/>
    <w:p w14:paraId="006249B6" w14:textId="77777777" w:rsidR="008B0E12" w:rsidRPr="008B0E12" w:rsidRDefault="008B0E12" w:rsidP="008B0E12"/>
    <w:p w14:paraId="32B173FE" w14:textId="77777777" w:rsidR="00F54DD2" w:rsidRPr="00326140" w:rsidRDefault="00F54DD2" w:rsidP="00F54DD2">
      <w:pPr>
        <w:pBdr>
          <w:top w:val="double" w:sz="12" w:space="1" w:color="auto"/>
        </w:pBdr>
        <w:spacing w:before="60"/>
        <w:rPr>
          <w:rFonts w:ascii="Arial" w:hAnsi="Arial" w:cs="Arial"/>
          <w:szCs w:val="24"/>
        </w:rPr>
      </w:pPr>
    </w:p>
    <w:p w14:paraId="5CBB9E3B" w14:textId="77777777" w:rsidR="00F54DD2" w:rsidRPr="00326140" w:rsidRDefault="00F54DD2" w:rsidP="00F54DD2">
      <w:pPr>
        <w:rPr>
          <w:rFonts w:ascii="Arial" w:hAnsi="Arial" w:cs="Arial"/>
          <w:szCs w:val="24"/>
        </w:rPr>
      </w:pPr>
    </w:p>
    <w:p w14:paraId="24B217CD" w14:textId="77777777" w:rsidR="00F54DD2" w:rsidRPr="00326140" w:rsidRDefault="00F54DD2" w:rsidP="00F54DD2">
      <w:pPr>
        <w:pStyle w:val="Heading1"/>
        <w:spacing w:line="360" w:lineRule="auto"/>
        <w:ind w:left="1987" w:right="475" w:hanging="1627"/>
        <w:rPr>
          <w:rFonts w:ascii="Arial" w:hAnsi="Arial" w:cs="Arial"/>
          <w:sz w:val="24"/>
          <w:szCs w:val="24"/>
        </w:rPr>
        <w:sectPr w:rsidR="00F54DD2" w:rsidRPr="00326140" w:rsidSect="008B0E12">
          <w:footerReference w:type="even" r:id="rId12"/>
          <w:footerReference w:type="default" r:id="rId13"/>
          <w:footerReference w:type="first" r:id="rId14"/>
          <w:type w:val="continuous"/>
          <w:pgSz w:w="12240" w:h="15840" w:code="1"/>
          <w:pgMar w:top="475" w:right="1008" w:bottom="720" w:left="1008" w:header="432" w:footer="720" w:gutter="0"/>
          <w:cols w:space="720"/>
          <w:docGrid w:linePitch="326"/>
        </w:sectPr>
      </w:pPr>
    </w:p>
    <w:tbl>
      <w:tblPr>
        <w:tblW w:w="0" w:type="auto"/>
        <w:tblLook w:val="01E0" w:firstRow="1" w:lastRow="1" w:firstColumn="1" w:lastColumn="1" w:noHBand="0" w:noVBand="0"/>
      </w:tblPr>
      <w:tblGrid>
        <w:gridCol w:w="1530"/>
        <w:gridCol w:w="8694"/>
      </w:tblGrid>
      <w:tr w:rsidR="00F54DD2" w:rsidRPr="00326140" w14:paraId="3D9E9163" w14:textId="77777777" w:rsidTr="00453F1C">
        <w:trPr>
          <w:trHeight w:val="576"/>
        </w:trPr>
        <w:tc>
          <w:tcPr>
            <w:tcW w:w="1534" w:type="dxa"/>
            <w:shd w:val="clear" w:color="auto" w:fill="auto"/>
            <w:tcMar>
              <w:left w:w="43" w:type="dxa"/>
              <w:right w:w="72" w:type="dxa"/>
            </w:tcMar>
          </w:tcPr>
          <w:p w14:paraId="5F47C932" w14:textId="77777777" w:rsidR="00F54DD2" w:rsidRPr="00326140" w:rsidRDefault="00F54DD2" w:rsidP="00427245">
            <w:pPr>
              <w:pStyle w:val="Heading1"/>
              <w:rPr>
                <w:rFonts w:ascii="Arial" w:hAnsi="Arial" w:cs="Arial"/>
                <w:b w:val="0"/>
                <w:sz w:val="24"/>
                <w:szCs w:val="24"/>
              </w:rPr>
            </w:pPr>
            <w:r w:rsidRPr="00326140">
              <w:rPr>
                <w:rFonts w:ascii="Arial" w:hAnsi="Arial" w:cs="Arial"/>
                <w:sz w:val="24"/>
                <w:szCs w:val="24"/>
              </w:rPr>
              <w:t>DATE:</w:t>
            </w:r>
          </w:p>
        </w:tc>
        <w:tc>
          <w:tcPr>
            <w:tcW w:w="8841" w:type="dxa"/>
            <w:shd w:val="clear" w:color="auto" w:fill="auto"/>
          </w:tcPr>
          <w:p w14:paraId="5FFE6611" w14:textId="5B7A866F" w:rsidR="00F54DD2" w:rsidRPr="00326140" w:rsidRDefault="00326140" w:rsidP="00A34D4F">
            <w:pPr>
              <w:pStyle w:val="Heading1"/>
              <w:rPr>
                <w:rFonts w:ascii="Arial" w:hAnsi="Arial" w:cs="Arial"/>
                <w:b w:val="0"/>
                <w:bCs/>
                <w:sz w:val="24"/>
                <w:szCs w:val="24"/>
              </w:rPr>
            </w:pPr>
            <w:r w:rsidRPr="00326140">
              <w:rPr>
                <w:rFonts w:ascii="Arial" w:hAnsi="Arial" w:cs="Arial"/>
                <w:b w:val="0"/>
                <w:bCs/>
                <w:sz w:val="24"/>
                <w:szCs w:val="24"/>
              </w:rPr>
              <w:t>April 21, 2023</w:t>
            </w:r>
          </w:p>
        </w:tc>
      </w:tr>
      <w:tr w:rsidR="00F54DD2" w:rsidRPr="00326140" w14:paraId="310F6F2A" w14:textId="77777777" w:rsidTr="00453F1C">
        <w:trPr>
          <w:trHeight w:val="576"/>
        </w:trPr>
        <w:tc>
          <w:tcPr>
            <w:tcW w:w="1534" w:type="dxa"/>
            <w:shd w:val="clear" w:color="auto" w:fill="auto"/>
            <w:tcMar>
              <w:left w:w="43" w:type="dxa"/>
              <w:right w:w="72" w:type="dxa"/>
            </w:tcMar>
          </w:tcPr>
          <w:p w14:paraId="073C5C6F" w14:textId="77777777" w:rsidR="00F54DD2" w:rsidRPr="00326140" w:rsidRDefault="00F54DD2" w:rsidP="00427245">
            <w:pPr>
              <w:pStyle w:val="Heading1"/>
              <w:rPr>
                <w:rFonts w:ascii="Arial" w:hAnsi="Arial" w:cs="Arial"/>
                <w:sz w:val="24"/>
                <w:szCs w:val="24"/>
              </w:rPr>
            </w:pPr>
            <w:r w:rsidRPr="00326140">
              <w:rPr>
                <w:rFonts w:ascii="Arial" w:hAnsi="Arial" w:cs="Arial"/>
                <w:sz w:val="24"/>
                <w:szCs w:val="24"/>
              </w:rPr>
              <w:t>TO:</w:t>
            </w:r>
          </w:p>
        </w:tc>
        <w:tc>
          <w:tcPr>
            <w:tcW w:w="8841" w:type="dxa"/>
            <w:shd w:val="clear" w:color="auto" w:fill="auto"/>
          </w:tcPr>
          <w:p w14:paraId="31B2BD28" w14:textId="0393A9E1" w:rsidR="00F54DD2" w:rsidRPr="00326140" w:rsidRDefault="00326140" w:rsidP="00A34D4F">
            <w:pPr>
              <w:pStyle w:val="Heading1"/>
              <w:rPr>
                <w:rFonts w:ascii="Arial" w:hAnsi="Arial" w:cs="Arial"/>
                <w:b w:val="0"/>
                <w:bCs/>
                <w:sz w:val="24"/>
                <w:szCs w:val="24"/>
              </w:rPr>
            </w:pPr>
            <w:r w:rsidRPr="00326140">
              <w:rPr>
                <w:rFonts w:ascii="Arial" w:hAnsi="Arial" w:cs="Arial"/>
                <w:b w:val="0"/>
                <w:bCs/>
                <w:sz w:val="24"/>
                <w:szCs w:val="24"/>
              </w:rPr>
              <w:t>Local Health Department Directors and Health Officers</w:t>
            </w:r>
          </w:p>
        </w:tc>
      </w:tr>
      <w:tr w:rsidR="00F54DD2" w:rsidRPr="00326140" w14:paraId="5C69D92F" w14:textId="77777777" w:rsidTr="00453F1C">
        <w:trPr>
          <w:trHeight w:val="576"/>
        </w:trPr>
        <w:tc>
          <w:tcPr>
            <w:tcW w:w="1534" w:type="dxa"/>
            <w:shd w:val="clear" w:color="auto" w:fill="auto"/>
            <w:tcMar>
              <w:left w:w="43" w:type="dxa"/>
              <w:right w:w="72" w:type="dxa"/>
            </w:tcMar>
          </w:tcPr>
          <w:p w14:paraId="38286A9C" w14:textId="77777777" w:rsidR="00F54DD2" w:rsidRPr="00326140" w:rsidRDefault="00F54DD2" w:rsidP="00427245">
            <w:pPr>
              <w:pStyle w:val="Heading1"/>
              <w:rPr>
                <w:rFonts w:ascii="Arial" w:hAnsi="Arial" w:cs="Arial"/>
                <w:sz w:val="24"/>
                <w:szCs w:val="24"/>
              </w:rPr>
            </w:pPr>
            <w:r w:rsidRPr="00326140">
              <w:rPr>
                <w:rFonts w:ascii="Arial" w:hAnsi="Arial" w:cs="Arial"/>
                <w:sz w:val="24"/>
                <w:szCs w:val="24"/>
              </w:rPr>
              <w:t>FROM:</w:t>
            </w:r>
          </w:p>
        </w:tc>
        <w:tc>
          <w:tcPr>
            <w:tcW w:w="8841" w:type="dxa"/>
            <w:shd w:val="clear" w:color="auto" w:fill="auto"/>
          </w:tcPr>
          <w:p w14:paraId="018EC009" w14:textId="7E2E6A74" w:rsidR="00F54DD2" w:rsidRPr="00326140" w:rsidRDefault="00326140" w:rsidP="00A34D4F">
            <w:pPr>
              <w:pStyle w:val="Heading1"/>
              <w:rPr>
                <w:rFonts w:ascii="Arial" w:hAnsi="Arial" w:cs="Arial"/>
                <w:b w:val="0"/>
                <w:bCs/>
                <w:sz w:val="24"/>
                <w:szCs w:val="24"/>
              </w:rPr>
            </w:pPr>
            <w:r w:rsidRPr="00326140">
              <w:rPr>
                <w:rFonts w:ascii="Arial" w:hAnsi="Arial" w:cs="Arial"/>
                <w:b w:val="0"/>
                <w:bCs/>
                <w:sz w:val="24"/>
                <w:szCs w:val="24"/>
              </w:rPr>
              <w:t>Susan Fanelli, Chief Deputy Director of Health Quality &amp; Emergency Response</w:t>
            </w:r>
          </w:p>
        </w:tc>
      </w:tr>
      <w:tr w:rsidR="00F54DD2" w:rsidRPr="00326140" w14:paraId="26D44134" w14:textId="77777777" w:rsidTr="00326140">
        <w:trPr>
          <w:trHeight w:val="73"/>
        </w:trPr>
        <w:tc>
          <w:tcPr>
            <w:tcW w:w="1534" w:type="dxa"/>
            <w:shd w:val="clear" w:color="auto" w:fill="auto"/>
            <w:tcMar>
              <w:left w:w="43" w:type="dxa"/>
              <w:right w:w="72" w:type="dxa"/>
            </w:tcMar>
          </w:tcPr>
          <w:p w14:paraId="63BDB797" w14:textId="77777777" w:rsidR="00F54DD2" w:rsidRPr="00326140" w:rsidRDefault="00F54DD2" w:rsidP="00427245">
            <w:pPr>
              <w:pStyle w:val="Heading1"/>
              <w:rPr>
                <w:rFonts w:ascii="Arial" w:hAnsi="Arial" w:cs="Arial"/>
                <w:sz w:val="24"/>
                <w:szCs w:val="24"/>
              </w:rPr>
            </w:pPr>
            <w:r w:rsidRPr="00326140">
              <w:rPr>
                <w:rFonts w:ascii="Arial" w:hAnsi="Arial" w:cs="Arial"/>
                <w:sz w:val="24"/>
                <w:szCs w:val="24"/>
              </w:rPr>
              <w:t>SUBJECT:</w:t>
            </w:r>
          </w:p>
        </w:tc>
        <w:tc>
          <w:tcPr>
            <w:tcW w:w="8841" w:type="dxa"/>
            <w:shd w:val="clear" w:color="auto" w:fill="auto"/>
          </w:tcPr>
          <w:p w14:paraId="00390728" w14:textId="436515A0" w:rsidR="00F54DD2" w:rsidRPr="00326140" w:rsidRDefault="00326140" w:rsidP="00A34D4F">
            <w:pPr>
              <w:pStyle w:val="Heading1"/>
              <w:rPr>
                <w:rFonts w:ascii="Arial" w:hAnsi="Arial" w:cs="Arial"/>
                <w:b w:val="0"/>
                <w:bCs/>
                <w:sz w:val="24"/>
                <w:szCs w:val="24"/>
              </w:rPr>
            </w:pPr>
            <w:r w:rsidRPr="00326140">
              <w:rPr>
                <w:rFonts w:ascii="Arial" w:hAnsi="Arial" w:cs="Arial"/>
                <w:b w:val="0"/>
                <w:bCs/>
                <w:sz w:val="24"/>
                <w:szCs w:val="24"/>
              </w:rPr>
              <w:t>Public Health Workforce Career Ladder Education and Development Program (PH-Career Ladder) Awards</w:t>
            </w:r>
          </w:p>
        </w:tc>
      </w:tr>
    </w:tbl>
    <w:p w14:paraId="37D64029" w14:textId="77777777" w:rsidR="00F54DD2" w:rsidRPr="00326140" w:rsidRDefault="00F54DD2" w:rsidP="00F54DD2">
      <w:pPr>
        <w:rPr>
          <w:rFonts w:ascii="Arial" w:hAnsi="Arial" w:cs="Arial"/>
          <w:szCs w:val="24"/>
        </w:rPr>
      </w:pPr>
    </w:p>
    <w:p w14:paraId="316825B5" w14:textId="77777777" w:rsidR="00F54DD2" w:rsidRPr="00326140" w:rsidRDefault="00F54DD2" w:rsidP="00F54DD2">
      <w:pPr>
        <w:rPr>
          <w:rFonts w:ascii="Arial" w:hAnsi="Arial" w:cs="Arial"/>
          <w:szCs w:val="24"/>
        </w:rPr>
        <w:sectPr w:rsidR="00F54DD2" w:rsidRPr="00326140" w:rsidSect="00140572">
          <w:type w:val="continuous"/>
          <w:pgSz w:w="12240" w:h="15840" w:code="1"/>
          <w:pgMar w:top="475" w:right="1008" w:bottom="1440" w:left="1008" w:header="432" w:footer="720" w:gutter="0"/>
          <w:cols w:space="720"/>
          <w:titlePg/>
        </w:sectPr>
      </w:pPr>
    </w:p>
    <w:p w14:paraId="64BE7AE9" w14:textId="430A8E5B" w:rsidR="00326140" w:rsidRPr="00326140" w:rsidRDefault="00326140" w:rsidP="00326140">
      <w:pPr>
        <w:rPr>
          <w:rFonts w:ascii="Arial" w:hAnsi="Arial" w:cs="Arial"/>
          <w:szCs w:val="24"/>
          <w:u w:val="single"/>
        </w:rPr>
      </w:pPr>
      <w:r w:rsidRPr="00326140">
        <w:rPr>
          <w:rFonts w:ascii="Arial" w:hAnsi="Arial" w:cs="Arial"/>
          <w:szCs w:val="24"/>
          <w:u w:val="single"/>
        </w:rPr>
        <w:t>Background:</w:t>
      </w:r>
    </w:p>
    <w:p w14:paraId="7A7E2218" w14:textId="77777777" w:rsidR="00326140" w:rsidRPr="00326140" w:rsidRDefault="00326140" w:rsidP="00326140">
      <w:pPr>
        <w:rPr>
          <w:rFonts w:ascii="Arial" w:hAnsi="Arial" w:cs="Arial"/>
          <w:szCs w:val="24"/>
        </w:rPr>
      </w:pPr>
      <w:r w:rsidRPr="00326140">
        <w:rPr>
          <w:rFonts w:ascii="Arial" w:hAnsi="Arial" w:cs="Arial"/>
          <w:szCs w:val="24"/>
        </w:rPr>
        <w:t xml:space="preserve">In December 2022, the California Department of Public Health (CDPH) released the Career Ladder Funding Application in accordance with funding appropriated in the 2022 State Budget Act (AB 179, Chapter 249, Statutes of 2022) to create the California Public Health Workforce Career Ladder Education and Development Program (PH-Career Ladder). The memo required applications to be submitted by local health jurisdictions (LHJs) to CDPH by January 31, 2023.  The purpose of these funds is to support worker upskilling to improve retention of the existing public health workforce and help incumbent workers develop their skills to meet future public health demands.  </w:t>
      </w:r>
    </w:p>
    <w:p w14:paraId="53EEF0AC" w14:textId="77777777" w:rsidR="00326140" w:rsidRPr="00326140" w:rsidRDefault="00326140" w:rsidP="00326140">
      <w:pPr>
        <w:rPr>
          <w:rFonts w:ascii="Arial" w:hAnsi="Arial" w:cs="Arial"/>
          <w:szCs w:val="24"/>
        </w:rPr>
      </w:pPr>
    </w:p>
    <w:p w14:paraId="1093DD5D" w14:textId="77777777" w:rsidR="00326140" w:rsidRPr="00326140" w:rsidRDefault="00326140" w:rsidP="00326140">
      <w:pPr>
        <w:rPr>
          <w:rFonts w:ascii="Arial" w:hAnsi="Arial" w:cs="Arial"/>
          <w:szCs w:val="24"/>
        </w:rPr>
      </w:pPr>
      <w:r w:rsidRPr="00326140">
        <w:rPr>
          <w:rFonts w:ascii="Arial" w:hAnsi="Arial" w:cs="Arial"/>
          <w:szCs w:val="24"/>
        </w:rPr>
        <w:t xml:space="preserve">The 2022 Budget Act provided $3.2 million each year for four (4) years for PH-Career Ladder to support state and local public health workforce upskilling. The original plan was to divide these funds 70 percent to local health jurisdictions (LHJs) and 30 percent to CDPH.  </w:t>
      </w:r>
    </w:p>
    <w:p w14:paraId="139FFB53" w14:textId="77777777" w:rsidR="00326140" w:rsidRPr="00326140" w:rsidRDefault="00326140" w:rsidP="00326140">
      <w:pPr>
        <w:rPr>
          <w:rFonts w:ascii="Arial" w:hAnsi="Arial" w:cs="Arial"/>
          <w:szCs w:val="24"/>
        </w:rPr>
      </w:pPr>
    </w:p>
    <w:p w14:paraId="7B795E04" w14:textId="77777777" w:rsidR="00326140" w:rsidRPr="00326140" w:rsidRDefault="00326140" w:rsidP="00326140">
      <w:pPr>
        <w:rPr>
          <w:rFonts w:ascii="Arial" w:hAnsi="Arial" w:cs="Arial"/>
          <w:szCs w:val="24"/>
        </w:rPr>
      </w:pPr>
      <w:r w:rsidRPr="00326140">
        <w:rPr>
          <w:rFonts w:ascii="Arial" w:hAnsi="Arial" w:cs="Arial"/>
          <w:szCs w:val="24"/>
        </w:rPr>
        <w:t xml:space="preserve">The Administration’s January budget plan proposed a reduction to current year funding and elimination of funding for the next 3 years for this program. While the Administration’s proposed funding reversion is still under consideration by the California Legislature, at this time CDPH is only able to allocate $2.6 million in one-time funds to this program all of which will be allocated to LHJs.  If funding is maintained at the 2022 Budget Act levels, CDPH will use the calculated scores to allocate funding to awarded LHJs for additional years. Depending on available resources, additional projects may be awarded. </w:t>
      </w:r>
    </w:p>
    <w:p w14:paraId="7A18A880" w14:textId="5BA0AF65" w:rsidR="00326140" w:rsidRDefault="00326140" w:rsidP="00326140">
      <w:pPr>
        <w:rPr>
          <w:rFonts w:ascii="Arial" w:hAnsi="Arial" w:cs="Arial"/>
          <w:szCs w:val="24"/>
        </w:rPr>
      </w:pPr>
    </w:p>
    <w:p w14:paraId="3E75A197" w14:textId="77777777" w:rsidR="00CD7200" w:rsidRPr="00326140" w:rsidRDefault="00CD7200" w:rsidP="00326140">
      <w:pPr>
        <w:rPr>
          <w:rFonts w:ascii="Arial" w:hAnsi="Arial" w:cs="Arial"/>
          <w:szCs w:val="24"/>
        </w:rPr>
      </w:pPr>
    </w:p>
    <w:p w14:paraId="1F0529D1" w14:textId="77777777" w:rsidR="00326140" w:rsidRPr="00326140" w:rsidRDefault="00326140" w:rsidP="00326140">
      <w:pPr>
        <w:rPr>
          <w:rFonts w:ascii="Arial" w:hAnsi="Arial" w:cs="Arial"/>
          <w:szCs w:val="24"/>
        </w:rPr>
      </w:pPr>
      <w:r w:rsidRPr="00326140">
        <w:rPr>
          <w:rFonts w:ascii="Arial" w:hAnsi="Arial" w:cs="Arial"/>
          <w:szCs w:val="24"/>
          <w:u w:val="single"/>
        </w:rPr>
        <w:t>Eligible Uses of Funding:</w:t>
      </w:r>
      <w:r w:rsidRPr="00326140">
        <w:rPr>
          <w:rFonts w:ascii="Arial" w:hAnsi="Arial" w:cs="Arial"/>
          <w:szCs w:val="24"/>
        </w:rPr>
        <w:t xml:space="preserve"> The following activities were considered eligible uses of the funding for the PH-Career Ladder program. </w:t>
      </w:r>
    </w:p>
    <w:p w14:paraId="2421FF62" w14:textId="77777777" w:rsidR="00326140" w:rsidRPr="00326140" w:rsidRDefault="00326140" w:rsidP="00326140">
      <w:pPr>
        <w:pStyle w:val="ListParagraph"/>
        <w:numPr>
          <w:ilvl w:val="0"/>
          <w:numId w:val="4"/>
        </w:numPr>
        <w:spacing w:after="0" w:line="240" w:lineRule="auto"/>
        <w:rPr>
          <w:rFonts w:cs="Arial"/>
          <w:szCs w:val="24"/>
        </w:rPr>
      </w:pPr>
      <w:r w:rsidRPr="00326140">
        <w:rPr>
          <w:rFonts w:cs="Arial"/>
          <w:szCs w:val="24"/>
        </w:rPr>
        <w:t>Providing stipends to eligible employees to offset the loss of compensation for up to 12 hours per workweek for eligible educational pursuits. Stipends shall be up to $600 per week per eligible employee for up to 12 weeks per year. An individual can receive stipend payments each year of the program.</w:t>
      </w:r>
    </w:p>
    <w:p w14:paraId="474F1EE1" w14:textId="77777777" w:rsidR="00326140" w:rsidRPr="00326140" w:rsidRDefault="00326140" w:rsidP="00326140">
      <w:pPr>
        <w:pStyle w:val="ListParagraph"/>
        <w:numPr>
          <w:ilvl w:val="0"/>
          <w:numId w:val="4"/>
        </w:numPr>
        <w:spacing w:after="0" w:line="240" w:lineRule="auto"/>
        <w:rPr>
          <w:rFonts w:cs="Arial"/>
          <w:szCs w:val="24"/>
        </w:rPr>
      </w:pPr>
      <w:r w:rsidRPr="00326140">
        <w:rPr>
          <w:rFonts w:cs="Arial"/>
          <w:szCs w:val="24"/>
        </w:rPr>
        <w:t>Hiring additional employees to support the goals of the program, such as covering employees while they participate in eligible educational pursuits.</w:t>
      </w:r>
    </w:p>
    <w:p w14:paraId="41607421" w14:textId="77777777" w:rsidR="00326140" w:rsidRPr="00326140" w:rsidRDefault="00326140" w:rsidP="00326140">
      <w:pPr>
        <w:pStyle w:val="ListParagraph"/>
        <w:numPr>
          <w:ilvl w:val="0"/>
          <w:numId w:val="4"/>
        </w:numPr>
        <w:spacing w:after="0" w:line="240" w:lineRule="auto"/>
        <w:rPr>
          <w:rFonts w:cs="Arial"/>
          <w:szCs w:val="24"/>
        </w:rPr>
      </w:pPr>
      <w:r w:rsidRPr="00326140">
        <w:rPr>
          <w:rFonts w:cs="Arial"/>
          <w:szCs w:val="24"/>
        </w:rPr>
        <w:lastRenderedPageBreak/>
        <w:t>Reimbursing for educational costs for eligible employees, such as tuition, registration fees, or other related educational expenses when participating in eligible educational pursuits.</w:t>
      </w:r>
    </w:p>
    <w:p w14:paraId="2C540063" w14:textId="77777777" w:rsidR="00326140" w:rsidRPr="00326140" w:rsidRDefault="00326140" w:rsidP="00326140">
      <w:pPr>
        <w:pStyle w:val="ListParagraph"/>
        <w:numPr>
          <w:ilvl w:val="1"/>
          <w:numId w:val="2"/>
        </w:numPr>
        <w:rPr>
          <w:rFonts w:cs="Arial"/>
          <w:szCs w:val="24"/>
        </w:rPr>
      </w:pPr>
      <w:r w:rsidRPr="00326140">
        <w:rPr>
          <w:rFonts w:cs="Arial"/>
          <w:szCs w:val="24"/>
        </w:rPr>
        <w:t>Allowable costs include but are not limited to continuing education for nurses and other disciplines, payment of licensure costs, examination fees, educational programs including certification and degree programs in public health, environmental health, or related fields such as social services or behavioral health, and wellness and trauma informed training.</w:t>
      </w:r>
    </w:p>
    <w:p w14:paraId="2D9FAD1C" w14:textId="77777777" w:rsidR="00326140" w:rsidRPr="00326140" w:rsidRDefault="00326140" w:rsidP="00326140">
      <w:pPr>
        <w:rPr>
          <w:rFonts w:ascii="Arial" w:hAnsi="Arial" w:cs="Arial"/>
          <w:szCs w:val="24"/>
        </w:rPr>
      </w:pPr>
      <w:r w:rsidRPr="00326140">
        <w:rPr>
          <w:rFonts w:ascii="Arial" w:hAnsi="Arial" w:cs="Arial"/>
          <w:szCs w:val="24"/>
        </w:rPr>
        <w:t>Please note, loan repayments were not considered an eligible use of funding.</w:t>
      </w:r>
    </w:p>
    <w:p w14:paraId="39DB564E" w14:textId="77777777" w:rsidR="00CD7200" w:rsidRPr="00326140" w:rsidRDefault="00CD7200" w:rsidP="00326140">
      <w:pPr>
        <w:rPr>
          <w:rFonts w:ascii="Arial" w:hAnsi="Arial" w:cs="Arial"/>
          <w:szCs w:val="24"/>
          <w:u w:val="single"/>
        </w:rPr>
      </w:pPr>
    </w:p>
    <w:p w14:paraId="3BCBC78D" w14:textId="77777777" w:rsidR="00326140" w:rsidRPr="00326140" w:rsidRDefault="00326140" w:rsidP="00326140">
      <w:pPr>
        <w:rPr>
          <w:rFonts w:ascii="Arial" w:hAnsi="Arial" w:cs="Arial"/>
          <w:szCs w:val="24"/>
          <w:u w:val="single"/>
        </w:rPr>
      </w:pPr>
      <w:r w:rsidRPr="00326140">
        <w:rPr>
          <w:rFonts w:ascii="Arial" w:hAnsi="Arial" w:cs="Arial"/>
          <w:szCs w:val="24"/>
          <w:u w:val="single"/>
        </w:rPr>
        <w:t>Applications Submitted:</w:t>
      </w:r>
    </w:p>
    <w:p w14:paraId="13B35354" w14:textId="77777777" w:rsidR="00326140" w:rsidRPr="00326140" w:rsidRDefault="00326140" w:rsidP="00326140">
      <w:pPr>
        <w:rPr>
          <w:rFonts w:ascii="Arial" w:hAnsi="Arial" w:cs="Arial"/>
          <w:szCs w:val="24"/>
        </w:rPr>
      </w:pPr>
      <w:r w:rsidRPr="00326140">
        <w:rPr>
          <w:rFonts w:ascii="Arial" w:hAnsi="Arial" w:cs="Arial"/>
          <w:szCs w:val="24"/>
        </w:rPr>
        <w:t xml:space="preserve">CDPH received 38 applications from local health jurisdictions. The majority of applications contained 3 or more projects, while some applications grouped several items into a single project. The cost of projects ranged from a few thousand dollars to several hundred thousand dollars.  Projects focused on a range of activities from advanced education to broad-based training.  </w:t>
      </w:r>
    </w:p>
    <w:p w14:paraId="61906E98" w14:textId="77777777" w:rsidR="00326140" w:rsidRPr="00326140" w:rsidRDefault="00326140" w:rsidP="00326140">
      <w:pPr>
        <w:rPr>
          <w:rFonts w:ascii="Arial" w:hAnsi="Arial" w:cs="Arial"/>
          <w:szCs w:val="24"/>
        </w:rPr>
      </w:pPr>
    </w:p>
    <w:p w14:paraId="7CEF9615" w14:textId="77777777" w:rsidR="00326140" w:rsidRPr="00326140" w:rsidRDefault="00326140" w:rsidP="00326140">
      <w:pPr>
        <w:rPr>
          <w:rFonts w:ascii="Arial" w:hAnsi="Arial" w:cs="Arial"/>
          <w:szCs w:val="24"/>
          <w:u w:val="single"/>
        </w:rPr>
      </w:pPr>
      <w:r w:rsidRPr="00326140">
        <w:rPr>
          <w:rFonts w:ascii="Arial" w:hAnsi="Arial" w:cs="Arial"/>
          <w:szCs w:val="24"/>
          <w:u w:val="single"/>
        </w:rPr>
        <w:t>Scoring:</w:t>
      </w:r>
    </w:p>
    <w:p w14:paraId="0E5D8DCE" w14:textId="77777777" w:rsidR="00326140" w:rsidRPr="00326140" w:rsidRDefault="00326140" w:rsidP="00326140">
      <w:pPr>
        <w:rPr>
          <w:rFonts w:ascii="Arial" w:hAnsi="Arial" w:cs="Arial"/>
          <w:szCs w:val="24"/>
        </w:rPr>
      </w:pPr>
      <w:r w:rsidRPr="00326140">
        <w:rPr>
          <w:rFonts w:ascii="Arial" w:hAnsi="Arial" w:cs="Arial"/>
          <w:szCs w:val="24"/>
        </w:rPr>
        <w:t>The application package identified several funding considerations for awarding projects. CDPH worked with staff from CHEAC, HOAC/CCLHO, and SEIU to determine the scoring criteria. All submitted applications were reviewed and scored exclusively by CDPH reviewers.</w:t>
      </w:r>
    </w:p>
    <w:p w14:paraId="3615DA26" w14:textId="77777777" w:rsidR="00326140" w:rsidRPr="00326140" w:rsidRDefault="00326140" w:rsidP="00326140">
      <w:pPr>
        <w:rPr>
          <w:rFonts w:ascii="Arial" w:hAnsi="Arial" w:cs="Arial"/>
          <w:szCs w:val="24"/>
        </w:rPr>
      </w:pPr>
    </w:p>
    <w:p w14:paraId="7F5EB420" w14:textId="77777777" w:rsidR="00326140" w:rsidRPr="00326140" w:rsidRDefault="00326140" w:rsidP="00326140">
      <w:pPr>
        <w:rPr>
          <w:rFonts w:ascii="Arial" w:hAnsi="Arial" w:cs="Arial"/>
          <w:i/>
          <w:iCs/>
          <w:szCs w:val="24"/>
        </w:rPr>
      </w:pPr>
      <w:r w:rsidRPr="00326140">
        <w:rPr>
          <w:rFonts w:ascii="Arial" w:hAnsi="Arial" w:cs="Arial"/>
          <w:i/>
          <w:iCs/>
          <w:szCs w:val="24"/>
        </w:rPr>
        <w:t>Scoring Criteria 1 – Upskilling</w:t>
      </w:r>
    </w:p>
    <w:p w14:paraId="6F312509" w14:textId="77777777" w:rsidR="00326140" w:rsidRPr="00326140" w:rsidRDefault="00326140" w:rsidP="00326140">
      <w:pPr>
        <w:rPr>
          <w:rFonts w:ascii="Arial" w:hAnsi="Arial" w:cs="Arial"/>
          <w:szCs w:val="24"/>
        </w:rPr>
      </w:pPr>
      <w:r w:rsidRPr="00326140">
        <w:rPr>
          <w:rFonts w:ascii="Arial" w:hAnsi="Arial" w:cs="Arial"/>
          <w:szCs w:val="24"/>
        </w:rPr>
        <w:t>Projects were first scored based on the level of upskilling for existing staff that would be provided. Given the limited funding, the CDPH in collaboration with CHEAC, HOAC/CCLHO, and SEIU decided to prioritize projects that focused on true upskilling to prepare staff for promotions instead of proposals that focused activities to help employees do their current job better. The upskilling scale was as follows:</w:t>
      </w:r>
    </w:p>
    <w:p w14:paraId="4B66BC63" w14:textId="77777777" w:rsidR="00326140" w:rsidRPr="00326140" w:rsidRDefault="00326140" w:rsidP="00326140">
      <w:pPr>
        <w:rPr>
          <w:rFonts w:ascii="Arial" w:hAnsi="Arial" w:cs="Arial"/>
          <w:szCs w:val="24"/>
        </w:rPr>
      </w:pPr>
    </w:p>
    <w:p w14:paraId="3F55EE04" w14:textId="77777777" w:rsidR="00326140" w:rsidRPr="00326140" w:rsidRDefault="00326140" w:rsidP="00326140">
      <w:pPr>
        <w:pStyle w:val="ListParagraph"/>
        <w:numPr>
          <w:ilvl w:val="0"/>
          <w:numId w:val="3"/>
        </w:numPr>
        <w:spacing w:after="160" w:line="259" w:lineRule="auto"/>
        <w:rPr>
          <w:rFonts w:cs="Arial"/>
          <w:szCs w:val="24"/>
        </w:rPr>
      </w:pPr>
      <w:r w:rsidRPr="00326140">
        <w:rPr>
          <w:rFonts w:cs="Arial"/>
          <w:szCs w:val="24"/>
        </w:rPr>
        <w:t>0-Not Upskilling</w:t>
      </w:r>
    </w:p>
    <w:p w14:paraId="5E98F74D" w14:textId="77777777" w:rsidR="00326140" w:rsidRPr="00326140" w:rsidRDefault="00326140" w:rsidP="00326140">
      <w:pPr>
        <w:pStyle w:val="ListParagraph"/>
        <w:numPr>
          <w:ilvl w:val="0"/>
          <w:numId w:val="3"/>
        </w:numPr>
        <w:spacing w:after="160" w:line="259" w:lineRule="auto"/>
        <w:rPr>
          <w:rFonts w:cs="Arial"/>
          <w:szCs w:val="24"/>
        </w:rPr>
      </w:pPr>
      <w:r w:rsidRPr="00326140">
        <w:rPr>
          <w:rFonts w:cs="Arial"/>
          <w:szCs w:val="24"/>
        </w:rPr>
        <w:t>1-Limited Upskilling</w:t>
      </w:r>
    </w:p>
    <w:p w14:paraId="2D543BBC" w14:textId="77777777" w:rsidR="00326140" w:rsidRPr="00326140" w:rsidRDefault="00326140" w:rsidP="00326140">
      <w:pPr>
        <w:pStyle w:val="ListParagraph"/>
        <w:numPr>
          <w:ilvl w:val="0"/>
          <w:numId w:val="3"/>
        </w:numPr>
        <w:spacing w:after="160" w:line="259" w:lineRule="auto"/>
        <w:rPr>
          <w:rFonts w:cs="Arial"/>
          <w:szCs w:val="24"/>
        </w:rPr>
      </w:pPr>
      <w:r w:rsidRPr="00326140">
        <w:rPr>
          <w:rFonts w:cs="Arial"/>
          <w:szCs w:val="24"/>
        </w:rPr>
        <w:t>2- Broad-based current job training</w:t>
      </w:r>
    </w:p>
    <w:p w14:paraId="13847151" w14:textId="77777777" w:rsidR="00326140" w:rsidRPr="00326140" w:rsidRDefault="00326140" w:rsidP="00326140">
      <w:pPr>
        <w:pStyle w:val="ListParagraph"/>
        <w:numPr>
          <w:ilvl w:val="0"/>
          <w:numId w:val="3"/>
        </w:numPr>
        <w:spacing w:after="160" w:line="259" w:lineRule="auto"/>
        <w:rPr>
          <w:rFonts w:cs="Arial"/>
          <w:szCs w:val="24"/>
        </w:rPr>
      </w:pPr>
      <w:r w:rsidRPr="00326140">
        <w:rPr>
          <w:rFonts w:cs="Arial"/>
          <w:szCs w:val="24"/>
        </w:rPr>
        <w:t>3-Licensing and certification costs, continuing education units for retainment</w:t>
      </w:r>
    </w:p>
    <w:p w14:paraId="5AFBF7FB" w14:textId="77777777" w:rsidR="00326140" w:rsidRPr="00326140" w:rsidRDefault="00326140" w:rsidP="00326140">
      <w:pPr>
        <w:pStyle w:val="ListParagraph"/>
        <w:numPr>
          <w:ilvl w:val="0"/>
          <w:numId w:val="3"/>
        </w:numPr>
        <w:spacing w:after="160" w:line="259" w:lineRule="auto"/>
        <w:rPr>
          <w:rFonts w:cs="Arial"/>
          <w:szCs w:val="24"/>
        </w:rPr>
      </w:pPr>
      <w:r w:rsidRPr="00326140">
        <w:rPr>
          <w:rFonts w:cs="Arial"/>
          <w:szCs w:val="24"/>
        </w:rPr>
        <w:t>4-Upskilling, includes stipends</w:t>
      </w:r>
    </w:p>
    <w:p w14:paraId="0F6543EF" w14:textId="77777777" w:rsidR="00326140" w:rsidRPr="00326140" w:rsidRDefault="00326140" w:rsidP="00326140">
      <w:pPr>
        <w:pStyle w:val="ListParagraph"/>
        <w:numPr>
          <w:ilvl w:val="0"/>
          <w:numId w:val="3"/>
        </w:numPr>
        <w:spacing w:after="160" w:line="259" w:lineRule="auto"/>
        <w:rPr>
          <w:rFonts w:cs="Arial"/>
          <w:szCs w:val="24"/>
        </w:rPr>
      </w:pPr>
      <w:r w:rsidRPr="00326140">
        <w:rPr>
          <w:rFonts w:cs="Arial"/>
          <w:szCs w:val="24"/>
        </w:rPr>
        <w:t>5-Extensive Upskilling+/Novel</w:t>
      </w:r>
    </w:p>
    <w:p w14:paraId="3AEBE2F1" w14:textId="77777777" w:rsidR="00326140" w:rsidRPr="00326140" w:rsidRDefault="00326140" w:rsidP="00326140">
      <w:pPr>
        <w:rPr>
          <w:rFonts w:ascii="Arial" w:hAnsi="Arial" w:cs="Arial"/>
          <w:szCs w:val="24"/>
        </w:rPr>
      </w:pPr>
      <w:r w:rsidRPr="00326140">
        <w:rPr>
          <w:rFonts w:ascii="Arial" w:hAnsi="Arial" w:cs="Arial"/>
          <w:szCs w:val="24"/>
        </w:rPr>
        <w:t xml:space="preserve">Projects that scored a 3 or above were granted the associated points. Projects scoring less than 3 were not funded. </w:t>
      </w:r>
    </w:p>
    <w:p w14:paraId="066E1D75" w14:textId="77777777" w:rsidR="00326140" w:rsidRPr="00326140" w:rsidRDefault="00326140" w:rsidP="00326140">
      <w:pPr>
        <w:rPr>
          <w:rFonts w:ascii="Arial" w:hAnsi="Arial" w:cs="Arial"/>
          <w:szCs w:val="24"/>
        </w:rPr>
      </w:pPr>
    </w:p>
    <w:p w14:paraId="496CC62E" w14:textId="77777777" w:rsidR="00326140" w:rsidRPr="00326140" w:rsidRDefault="00326140" w:rsidP="00326140">
      <w:pPr>
        <w:rPr>
          <w:rFonts w:ascii="Arial" w:hAnsi="Arial" w:cs="Arial"/>
          <w:i/>
          <w:iCs/>
          <w:szCs w:val="24"/>
        </w:rPr>
      </w:pPr>
      <w:r w:rsidRPr="00326140">
        <w:rPr>
          <w:rFonts w:ascii="Arial" w:hAnsi="Arial" w:cs="Arial"/>
          <w:i/>
          <w:iCs/>
          <w:szCs w:val="24"/>
        </w:rPr>
        <w:t>Scoring Criteria 2 – Additional Considerations</w:t>
      </w:r>
    </w:p>
    <w:p w14:paraId="6CFBA0C9" w14:textId="77777777" w:rsidR="00326140" w:rsidRPr="00326140" w:rsidRDefault="00326140" w:rsidP="00326140">
      <w:pPr>
        <w:rPr>
          <w:rFonts w:ascii="Arial" w:hAnsi="Arial" w:cs="Arial"/>
          <w:szCs w:val="24"/>
        </w:rPr>
      </w:pPr>
    </w:p>
    <w:p w14:paraId="0C542334" w14:textId="77777777" w:rsidR="00326140" w:rsidRPr="00326140" w:rsidRDefault="00326140" w:rsidP="00326140">
      <w:pPr>
        <w:rPr>
          <w:rFonts w:ascii="Arial" w:hAnsi="Arial" w:cs="Arial"/>
          <w:szCs w:val="24"/>
        </w:rPr>
      </w:pPr>
      <w:r w:rsidRPr="00326140">
        <w:rPr>
          <w:rFonts w:ascii="Arial" w:hAnsi="Arial" w:cs="Arial"/>
          <w:szCs w:val="24"/>
        </w:rPr>
        <w:t>Up to 5 additional points were allocated, up to 1 point each, if the LHJ:</w:t>
      </w:r>
    </w:p>
    <w:p w14:paraId="12D72FD3" w14:textId="77777777" w:rsidR="00326140" w:rsidRPr="00326140" w:rsidRDefault="00326140" w:rsidP="00326140">
      <w:pPr>
        <w:pStyle w:val="ListParagraph"/>
        <w:numPr>
          <w:ilvl w:val="0"/>
          <w:numId w:val="6"/>
        </w:numPr>
        <w:spacing w:after="0" w:line="240" w:lineRule="auto"/>
        <w:ind w:left="810"/>
        <w:rPr>
          <w:rFonts w:cs="Arial"/>
          <w:szCs w:val="24"/>
        </w:rPr>
      </w:pPr>
      <w:r w:rsidRPr="00326140">
        <w:rPr>
          <w:rFonts w:cs="Arial"/>
          <w:szCs w:val="24"/>
        </w:rPr>
        <w:t>Is considered a rural/central valley jurisdiction</w:t>
      </w:r>
    </w:p>
    <w:p w14:paraId="64527263" w14:textId="77777777" w:rsidR="00326140" w:rsidRPr="00326140" w:rsidRDefault="00326140" w:rsidP="00326140">
      <w:pPr>
        <w:pStyle w:val="ListParagraph"/>
        <w:numPr>
          <w:ilvl w:val="0"/>
          <w:numId w:val="5"/>
        </w:numPr>
        <w:spacing w:after="0" w:line="240" w:lineRule="auto"/>
        <w:rPr>
          <w:rFonts w:cs="Arial"/>
          <w:szCs w:val="24"/>
        </w:rPr>
      </w:pPr>
      <w:r w:rsidRPr="00326140">
        <w:rPr>
          <w:rFonts w:cs="Arial"/>
          <w:szCs w:val="24"/>
        </w:rPr>
        <w:lastRenderedPageBreak/>
        <w:t xml:space="preserve">Provided a justification for the project’s prioritization </w:t>
      </w:r>
    </w:p>
    <w:p w14:paraId="49FB3DC5" w14:textId="77777777" w:rsidR="00326140" w:rsidRPr="00326140" w:rsidRDefault="00326140" w:rsidP="00326140">
      <w:pPr>
        <w:pStyle w:val="ListParagraph"/>
        <w:numPr>
          <w:ilvl w:val="0"/>
          <w:numId w:val="5"/>
        </w:numPr>
        <w:spacing w:after="0" w:line="240" w:lineRule="auto"/>
        <w:rPr>
          <w:rFonts w:cs="Arial"/>
          <w:szCs w:val="24"/>
        </w:rPr>
      </w:pPr>
      <w:r w:rsidRPr="00326140">
        <w:rPr>
          <w:rFonts w:cs="Arial"/>
          <w:szCs w:val="24"/>
        </w:rPr>
        <w:t>Addressed a hard to fill classification</w:t>
      </w:r>
    </w:p>
    <w:p w14:paraId="467D876E" w14:textId="77777777" w:rsidR="00326140" w:rsidRPr="00326140" w:rsidRDefault="00326140" w:rsidP="00326140">
      <w:pPr>
        <w:pStyle w:val="ListParagraph"/>
        <w:numPr>
          <w:ilvl w:val="0"/>
          <w:numId w:val="5"/>
        </w:numPr>
        <w:spacing w:after="0" w:line="240" w:lineRule="auto"/>
        <w:rPr>
          <w:rFonts w:cs="Arial"/>
          <w:szCs w:val="24"/>
        </w:rPr>
      </w:pPr>
      <w:r w:rsidRPr="00326140">
        <w:rPr>
          <w:rFonts w:cs="Arial"/>
          <w:szCs w:val="24"/>
        </w:rPr>
        <w:t>Had an overall high vacancy rate</w:t>
      </w:r>
    </w:p>
    <w:p w14:paraId="58C17122" w14:textId="77777777" w:rsidR="00326140" w:rsidRPr="00326140" w:rsidRDefault="00326140" w:rsidP="00326140">
      <w:pPr>
        <w:pStyle w:val="ListParagraph"/>
        <w:numPr>
          <w:ilvl w:val="0"/>
          <w:numId w:val="5"/>
        </w:numPr>
        <w:spacing w:after="0" w:line="240" w:lineRule="auto"/>
        <w:rPr>
          <w:rFonts w:cs="Arial"/>
          <w:szCs w:val="24"/>
        </w:rPr>
      </w:pPr>
      <w:r w:rsidRPr="00326140">
        <w:rPr>
          <w:rFonts w:cs="Arial"/>
          <w:szCs w:val="24"/>
        </w:rPr>
        <w:t>Included projects with reasonable costs</w:t>
      </w:r>
    </w:p>
    <w:p w14:paraId="598793CE" w14:textId="3A65D25C" w:rsidR="00326140" w:rsidRPr="00326140" w:rsidRDefault="00326140" w:rsidP="00326140">
      <w:pPr>
        <w:rPr>
          <w:rFonts w:ascii="Arial" w:hAnsi="Arial" w:cs="Arial"/>
          <w:szCs w:val="24"/>
        </w:rPr>
      </w:pPr>
      <w:r w:rsidRPr="00326140">
        <w:rPr>
          <w:rFonts w:ascii="Arial" w:hAnsi="Arial" w:cs="Arial"/>
          <w:szCs w:val="24"/>
        </w:rPr>
        <w:br/>
        <w:t xml:space="preserve">To ensure an accurate review, applications were first reviewed by an initial CDPH team. The scores were then presented to a second panel of CDPH reviewers which reviewed the scores for consistency across the projects.  Due to the proposed funding reduction, CDPH modified the total awarded for projects to stay within the reduced funding totals. </w:t>
      </w:r>
    </w:p>
    <w:p w14:paraId="3BFC5DA1" w14:textId="77777777" w:rsidR="00CD7200" w:rsidRPr="00326140" w:rsidDel="0048228C" w:rsidRDefault="00CD7200" w:rsidP="00326140">
      <w:pPr>
        <w:rPr>
          <w:rFonts w:ascii="Arial" w:hAnsi="Arial" w:cs="Arial"/>
          <w:szCs w:val="24"/>
        </w:rPr>
      </w:pPr>
    </w:p>
    <w:p w14:paraId="0AE9D824" w14:textId="77777777" w:rsidR="00326140" w:rsidRPr="00326140" w:rsidRDefault="00326140" w:rsidP="00326140">
      <w:pPr>
        <w:rPr>
          <w:rFonts w:ascii="Arial" w:hAnsi="Arial" w:cs="Arial"/>
          <w:szCs w:val="24"/>
          <w:u w:val="single"/>
        </w:rPr>
      </w:pPr>
      <w:r w:rsidRPr="00326140">
        <w:rPr>
          <w:rFonts w:ascii="Arial" w:hAnsi="Arial" w:cs="Arial"/>
          <w:szCs w:val="24"/>
          <w:u w:val="single"/>
        </w:rPr>
        <w:t>Awards:</w:t>
      </w:r>
    </w:p>
    <w:p w14:paraId="3A71B8B6" w14:textId="0B32FE31" w:rsidR="00CD7200" w:rsidRDefault="00326140" w:rsidP="00326140">
      <w:pPr>
        <w:rPr>
          <w:rFonts w:ascii="Arial" w:hAnsi="Arial" w:cs="Arial"/>
          <w:szCs w:val="24"/>
        </w:rPr>
      </w:pPr>
      <w:r w:rsidRPr="00326140">
        <w:rPr>
          <w:rFonts w:ascii="Arial" w:hAnsi="Arial" w:cs="Arial"/>
          <w:szCs w:val="24"/>
        </w:rPr>
        <w:t>33 LHJs received funding for one or more of their proposed projects. Projects are funded at 100% in Year 1. In order to stay within available funds, all projects requesting year 2 funding are funded at 88%. The funding allocations are as follows:</w:t>
      </w:r>
    </w:p>
    <w:p w14:paraId="3E4E51A7" w14:textId="77777777" w:rsidR="00CD7200" w:rsidRPr="00326140" w:rsidRDefault="00CD7200" w:rsidP="00326140">
      <w:pPr>
        <w:rPr>
          <w:rFonts w:ascii="Arial" w:hAnsi="Arial" w:cs="Arial"/>
          <w:szCs w:val="24"/>
        </w:rPr>
      </w:pPr>
    </w:p>
    <w:tbl>
      <w:tblPr>
        <w:tblW w:w="7400" w:type="dxa"/>
        <w:tblLook w:val="04A0" w:firstRow="1" w:lastRow="0" w:firstColumn="1" w:lastColumn="0" w:noHBand="0" w:noVBand="1"/>
      </w:tblPr>
      <w:tblGrid>
        <w:gridCol w:w="2060"/>
        <w:gridCol w:w="1720"/>
        <w:gridCol w:w="1780"/>
        <w:gridCol w:w="1840"/>
      </w:tblGrid>
      <w:tr w:rsidR="00326140" w:rsidRPr="00326140" w14:paraId="2D2DBAE2" w14:textId="77777777" w:rsidTr="008F0DC3">
        <w:trPr>
          <w:trHeight w:val="300"/>
        </w:trPr>
        <w:tc>
          <w:tcPr>
            <w:tcW w:w="20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C1E42DC" w14:textId="77777777" w:rsidR="00326140" w:rsidRPr="00326140" w:rsidRDefault="00326140" w:rsidP="008F0DC3">
            <w:pPr>
              <w:jc w:val="center"/>
              <w:rPr>
                <w:rFonts w:ascii="Arial" w:hAnsi="Arial" w:cs="Arial"/>
                <w:b/>
                <w:bCs/>
                <w:color w:val="000000"/>
                <w:szCs w:val="24"/>
              </w:rPr>
            </w:pPr>
            <w:r w:rsidRPr="00326140">
              <w:rPr>
                <w:rFonts w:ascii="Arial" w:hAnsi="Arial" w:cs="Arial"/>
                <w:b/>
                <w:bCs/>
                <w:color w:val="000000"/>
                <w:szCs w:val="24"/>
              </w:rPr>
              <w:t>LHJ</w:t>
            </w:r>
          </w:p>
        </w:tc>
        <w:tc>
          <w:tcPr>
            <w:tcW w:w="1720" w:type="dxa"/>
            <w:tcBorders>
              <w:top w:val="single" w:sz="4" w:space="0" w:color="auto"/>
              <w:left w:val="nil"/>
              <w:bottom w:val="single" w:sz="4" w:space="0" w:color="auto"/>
              <w:right w:val="single" w:sz="4" w:space="0" w:color="auto"/>
            </w:tcBorders>
            <w:shd w:val="clear" w:color="000000" w:fill="E7E6E6"/>
            <w:noWrap/>
            <w:vAlign w:val="bottom"/>
            <w:hideMark/>
          </w:tcPr>
          <w:p w14:paraId="2FF7FC04" w14:textId="77777777" w:rsidR="00326140" w:rsidRPr="00326140" w:rsidRDefault="00326140" w:rsidP="008F0DC3">
            <w:pPr>
              <w:jc w:val="center"/>
              <w:rPr>
                <w:rFonts w:ascii="Arial" w:hAnsi="Arial" w:cs="Arial"/>
                <w:b/>
                <w:bCs/>
                <w:color w:val="000000"/>
                <w:szCs w:val="24"/>
              </w:rPr>
            </w:pPr>
            <w:r w:rsidRPr="00326140">
              <w:rPr>
                <w:rFonts w:ascii="Arial" w:hAnsi="Arial" w:cs="Arial"/>
                <w:b/>
                <w:bCs/>
                <w:color w:val="000000"/>
                <w:szCs w:val="24"/>
              </w:rPr>
              <w:t>Year 1</w:t>
            </w:r>
          </w:p>
        </w:tc>
        <w:tc>
          <w:tcPr>
            <w:tcW w:w="1780" w:type="dxa"/>
            <w:tcBorders>
              <w:top w:val="single" w:sz="4" w:space="0" w:color="auto"/>
              <w:left w:val="nil"/>
              <w:bottom w:val="single" w:sz="4" w:space="0" w:color="auto"/>
              <w:right w:val="single" w:sz="4" w:space="0" w:color="auto"/>
            </w:tcBorders>
            <w:shd w:val="clear" w:color="000000" w:fill="E7E6E6"/>
            <w:noWrap/>
            <w:vAlign w:val="bottom"/>
            <w:hideMark/>
          </w:tcPr>
          <w:p w14:paraId="578BF64D" w14:textId="77777777" w:rsidR="00326140" w:rsidRPr="00326140" w:rsidRDefault="00326140" w:rsidP="008F0DC3">
            <w:pPr>
              <w:jc w:val="center"/>
              <w:rPr>
                <w:rFonts w:ascii="Arial" w:hAnsi="Arial" w:cs="Arial"/>
                <w:b/>
                <w:bCs/>
                <w:color w:val="000000"/>
                <w:szCs w:val="24"/>
              </w:rPr>
            </w:pPr>
            <w:r w:rsidRPr="00326140">
              <w:rPr>
                <w:rFonts w:ascii="Arial" w:hAnsi="Arial" w:cs="Arial"/>
                <w:b/>
                <w:bCs/>
                <w:color w:val="000000"/>
                <w:szCs w:val="24"/>
              </w:rPr>
              <w:t>Year 2 (88%)</w:t>
            </w:r>
          </w:p>
        </w:tc>
        <w:tc>
          <w:tcPr>
            <w:tcW w:w="1840" w:type="dxa"/>
            <w:tcBorders>
              <w:top w:val="single" w:sz="4" w:space="0" w:color="auto"/>
              <w:left w:val="nil"/>
              <w:bottom w:val="single" w:sz="4" w:space="0" w:color="auto"/>
              <w:right w:val="single" w:sz="4" w:space="0" w:color="auto"/>
            </w:tcBorders>
            <w:shd w:val="clear" w:color="000000" w:fill="E7E6E6"/>
            <w:noWrap/>
            <w:vAlign w:val="bottom"/>
            <w:hideMark/>
          </w:tcPr>
          <w:p w14:paraId="2F74C170" w14:textId="51C78AE7" w:rsidR="00326140" w:rsidRPr="00326140" w:rsidRDefault="004C63A8" w:rsidP="008F0DC3">
            <w:pPr>
              <w:jc w:val="center"/>
              <w:rPr>
                <w:rFonts w:ascii="Arial" w:hAnsi="Arial" w:cs="Arial"/>
                <w:b/>
                <w:bCs/>
                <w:color w:val="000000"/>
                <w:szCs w:val="24"/>
              </w:rPr>
            </w:pPr>
            <w:r>
              <w:rPr>
                <w:rFonts w:ascii="Arial" w:hAnsi="Arial" w:cs="Arial"/>
                <w:b/>
                <w:bCs/>
                <w:color w:val="000000"/>
                <w:szCs w:val="24"/>
              </w:rPr>
              <w:t>Total</w:t>
            </w:r>
          </w:p>
        </w:tc>
      </w:tr>
      <w:tr w:rsidR="00326140" w:rsidRPr="00326140" w14:paraId="355B34C9"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E6737BC"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Alameda</w:t>
            </w:r>
          </w:p>
        </w:tc>
        <w:tc>
          <w:tcPr>
            <w:tcW w:w="1720" w:type="dxa"/>
            <w:tcBorders>
              <w:top w:val="nil"/>
              <w:left w:val="nil"/>
              <w:bottom w:val="single" w:sz="4" w:space="0" w:color="auto"/>
              <w:right w:val="single" w:sz="4" w:space="0" w:color="auto"/>
            </w:tcBorders>
            <w:shd w:val="clear" w:color="auto" w:fill="auto"/>
            <w:noWrap/>
            <w:vAlign w:val="bottom"/>
            <w:hideMark/>
          </w:tcPr>
          <w:p w14:paraId="68D1F3A6"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90,000</w:t>
            </w:r>
          </w:p>
        </w:tc>
        <w:tc>
          <w:tcPr>
            <w:tcW w:w="1780" w:type="dxa"/>
            <w:tcBorders>
              <w:top w:val="nil"/>
              <w:left w:val="nil"/>
              <w:bottom w:val="single" w:sz="4" w:space="0" w:color="auto"/>
              <w:right w:val="single" w:sz="4" w:space="0" w:color="auto"/>
            </w:tcBorders>
            <w:shd w:val="clear" w:color="auto" w:fill="auto"/>
            <w:noWrap/>
            <w:vAlign w:val="bottom"/>
            <w:hideMark/>
          </w:tcPr>
          <w:p w14:paraId="597D04AA" w14:textId="7D248ABF" w:rsidR="00326140" w:rsidRPr="00326140" w:rsidRDefault="00326140" w:rsidP="00326140">
            <w:pPr>
              <w:jc w:val="right"/>
              <w:rPr>
                <w:rFonts w:ascii="Arial" w:hAnsi="Arial" w:cs="Arial"/>
                <w:color w:val="000000"/>
                <w:szCs w:val="24"/>
              </w:rPr>
            </w:pPr>
            <w:r w:rsidRPr="00326140">
              <w:rPr>
                <w:rFonts w:ascii="Arial" w:hAnsi="Arial" w:cs="Arial"/>
                <w:color w:val="000000"/>
                <w:szCs w:val="24"/>
              </w:rPr>
              <w:t> </w:t>
            </w:r>
            <w:r>
              <w:rPr>
                <w:rFonts w:ascii="Arial" w:hAnsi="Arial" w:cs="Arial"/>
                <w:color w:val="000000"/>
                <w:szCs w:val="24"/>
              </w:rPr>
              <w:t>0</w:t>
            </w:r>
          </w:p>
        </w:tc>
        <w:tc>
          <w:tcPr>
            <w:tcW w:w="1840" w:type="dxa"/>
            <w:tcBorders>
              <w:top w:val="nil"/>
              <w:left w:val="nil"/>
              <w:bottom w:val="single" w:sz="4" w:space="0" w:color="auto"/>
              <w:right w:val="single" w:sz="4" w:space="0" w:color="auto"/>
            </w:tcBorders>
            <w:shd w:val="clear" w:color="auto" w:fill="auto"/>
            <w:noWrap/>
            <w:vAlign w:val="bottom"/>
            <w:hideMark/>
          </w:tcPr>
          <w:p w14:paraId="2C28D409"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90,000</w:t>
            </w:r>
          </w:p>
        </w:tc>
      </w:tr>
      <w:tr w:rsidR="00326140" w:rsidRPr="00326140" w14:paraId="0BEC6FD5"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704E2DB"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Amador</w:t>
            </w:r>
          </w:p>
        </w:tc>
        <w:tc>
          <w:tcPr>
            <w:tcW w:w="1720" w:type="dxa"/>
            <w:tcBorders>
              <w:top w:val="nil"/>
              <w:left w:val="nil"/>
              <w:bottom w:val="single" w:sz="4" w:space="0" w:color="auto"/>
              <w:right w:val="single" w:sz="4" w:space="0" w:color="auto"/>
            </w:tcBorders>
            <w:shd w:val="clear" w:color="auto" w:fill="auto"/>
            <w:noWrap/>
            <w:vAlign w:val="bottom"/>
            <w:hideMark/>
          </w:tcPr>
          <w:p w14:paraId="617FAB3F"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23,425</w:t>
            </w:r>
          </w:p>
        </w:tc>
        <w:tc>
          <w:tcPr>
            <w:tcW w:w="1780" w:type="dxa"/>
            <w:tcBorders>
              <w:top w:val="nil"/>
              <w:left w:val="nil"/>
              <w:bottom w:val="single" w:sz="4" w:space="0" w:color="auto"/>
              <w:right w:val="single" w:sz="4" w:space="0" w:color="auto"/>
            </w:tcBorders>
            <w:shd w:val="clear" w:color="auto" w:fill="auto"/>
            <w:noWrap/>
            <w:vAlign w:val="bottom"/>
            <w:hideMark/>
          </w:tcPr>
          <w:p w14:paraId="79D978DC"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36,285</w:t>
            </w:r>
          </w:p>
        </w:tc>
        <w:tc>
          <w:tcPr>
            <w:tcW w:w="1840" w:type="dxa"/>
            <w:tcBorders>
              <w:top w:val="nil"/>
              <w:left w:val="nil"/>
              <w:bottom w:val="single" w:sz="4" w:space="0" w:color="auto"/>
              <w:right w:val="single" w:sz="4" w:space="0" w:color="auto"/>
            </w:tcBorders>
            <w:shd w:val="clear" w:color="auto" w:fill="auto"/>
            <w:noWrap/>
            <w:vAlign w:val="bottom"/>
            <w:hideMark/>
          </w:tcPr>
          <w:p w14:paraId="26FE7C1F"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59,710</w:t>
            </w:r>
          </w:p>
        </w:tc>
      </w:tr>
      <w:tr w:rsidR="00326140" w:rsidRPr="00326140" w14:paraId="51C4B221"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88AE532"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Butte</w:t>
            </w:r>
          </w:p>
        </w:tc>
        <w:tc>
          <w:tcPr>
            <w:tcW w:w="1720" w:type="dxa"/>
            <w:tcBorders>
              <w:top w:val="nil"/>
              <w:left w:val="nil"/>
              <w:bottom w:val="single" w:sz="4" w:space="0" w:color="auto"/>
              <w:right w:val="single" w:sz="4" w:space="0" w:color="auto"/>
            </w:tcBorders>
            <w:shd w:val="clear" w:color="auto" w:fill="auto"/>
            <w:noWrap/>
            <w:vAlign w:val="bottom"/>
            <w:hideMark/>
          </w:tcPr>
          <w:p w14:paraId="53876616"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17,460</w:t>
            </w:r>
          </w:p>
        </w:tc>
        <w:tc>
          <w:tcPr>
            <w:tcW w:w="1780" w:type="dxa"/>
            <w:tcBorders>
              <w:top w:val="nil"/>
              <w:left w:val="nil"/>
              <w:bottom w:val="single" w:sz="4" w:space="0" w:color="auto"/>
              <w:right w:val="single" w:sz="4" w:space="0" w:color="auto"/>
            </w:tcBorders>
            <w:shd w:val="clear" w:color="auto" w:fill="auto"/>
            <w:noWrap/>
            <w:vAlign w:val="bottom"/>
            <w:hideMark/>
          </w:tcPr>
          <w:p w14:paraId="0C64394E"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39,825</w:t>
            </w:r>
          </w:p>
        </w:tc>
        <w:tc>
          <w:tcPr>
            <w:tcW w:w="1840" w:type="dxa"/>
            <w:tcBorders>
              <w:top w:val="nil"/>
              <w:left w:val="nil"/>
              <w:bottom w:val="single" w:sz="4" w:space="0" w:color="auto"/>
              <w:right w:val="single" w:sz="4" w:space="0" w:color="auto"/>
            </w:tcBorders>
            <w:shd w:val="clear" w:color="auto" w:fill="auto"/>
            <w:noWrap/>
            <w:vAlign w:val="bottom"/>
            <w:hideMark/>
          </w:tcPr>
          <w:p w14:paraId="7BF71A9B"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57,285</w:t>
            </w:r>
          </w:p>
        </w:tc>
      </w:tr>
      <w:tr w:rsidR="00326140" w:rsidRPr="00326140" w14:paraId="49D39F4D"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1F285B7"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Calaveras</w:t>
            </w:r>
          </w:p>
        </w:tc>
        <w:tc>
          <w:tcPr>
            <w:tcW w:w="1720" w:type="dxa"/>
            <w:tcBorders>
              <w:top w:val="nil"/>
              <w:left w:val="nil"/>
              <w:bottom w:val="single" w:sz="4" w:space="0" w:color="auto"/>
              <w:right w:val="single" w:sz="4" w:space="0" w:color="auto"/>
            </w:tcBorders>
            <w:shd w:val="clear" w:color="auto" w:fill="auto"/>
            <w:noWrap/>
            <w:vAlign w:val="bottom"/>
            <w:hideMark/>
          </w:tcPr>
          <w:p w14:paraId="50007C45"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8,760</w:t>
            </w:r>
          </w:p>
        </w:tc>
        <w:tc>
          <w:tcPr>
            <w:tcW w:w="1780" w:type="dxa"/>
            <w:tcBorders>
              <w:top w:val="nil"/>
              <w:left w:val="nil"/>
              <w:bottom w:val="single" w:sz="4" w:space="0" w:color="auto"/>
              <w:right w:val="single" w:sz="4" w:space="0" w:color="auto"/>
            </w:tcBorders>
            <w:shd w:val="clear" w:color="auto" w:fill="auto"/>
            <w:noWrap/>
            <w:vAlign w:val="bottom"/>
            <w:hideMark/>
          </w:tcPr>
          <w:p w14:paraId="3DAC4526"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6,089</w:t>
            </w:r>
          </w:p>
        </w:tc>
        <w:tc>
          <w:tcPr>
            <w:tcW w:w="1840" w:type="dxa"/>
            <w:tcBorders>
              <w:top w:val="nil"/>
              <w:left w:val="nil"/>
              <w:bottom w:val="single" w:sz="4" w:space="0" w:color="auto"/>
              <w:right w:val="single" w:sz="4" w:space="0" w:color="auto"/>
            </w:tcBorders>
            <w:shd w:val="clear" w:color="auto" w:fill="auto"/>
            <w:noWrap/>
            <w:vAlign w:val="bottom"/>
            <w:hideMark/>
          </w:tcPr>
          <w:p w14:paraId="14E5AABC"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14,849</w:t>
            </w:r>
          </w:p>
        </w:tc>
      </w:tr>
      <w:tr w:rsidR="00326140" w:rsidRPr="00326140" w14:paraId="067B8167"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6931EDE"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Colusa</w:t>
            </w:r>
          </w:p>
        </w:tc>
        <w:tc>
          <w:tcPr>
            <w:tcW w:w="1720" w:type="dxa"/>
            <w:tcBorders>
              <w:top w:val="nil"/>
              <w:left w:val="nil"/>
              <w:bottom w:val="single" w:sz="4" w:space="0" w:color="auto"/>
              <w:right w:val="single" w:sz="4" w:space="0" w:color="auto"/>
            </w:tcBorders>
            <w:shd w:val="clear" w:color="auto" w:fill="auto"/>
            <w:noWrap/>
            <w:vAlign w:val="bottom"/>
            <w:hideMark/>
          </w:tcPr>
          <w:p w14:paraId="651418F1"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52,000</w:t>
            </w:r>
          </w:p>
        </w:tc>
        <w:tc>
          <w:tcPr>
            <w:tcW w:w="1780" w:type="dxa"/>
            <w:tcBorders>
              <w:top w:val="nil"/>
              <w:left w:val="nil"/>
              <w:bottom w:val="single" w:sz="4" w:space="0" w:color="auto"/>
              <w:right w:val="single" w:sz="4" w:space="0" w:color="auto"/>
            </w:tcBorders>
            <w:shd w:val="clear" w:color="auto" w:fill="auto"/>
            <w:noWrap/>
            <w:vAlign w:val="bottom"/>
            <w:hideMark/>
          </w:tcPr>
          <w:p w14:paraId="4F0DBDC7"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72,570</w:t>
            </w:r>
          </w:p>
        </w:tc>
        <w:tc>
          <w:tcPr>
            <w:tcW w:w="1840" w:type="dxa"/>
            <w:tcBorders>
              <w:top w:val="nil"/>
              <w:left w:val="nil"/>
              <w:bottom w:val="single" w:sz="4" w:space="0" w:color="auto"/>
              <w:right w:val="single" w:sz="4" w:space="0" w:color="auto"/>
            </w:tcBorders>
            <w:shd w:val="clear" w:color="auto" w:fill="auto"/>
            <w:noWrap/>
            <w:vAlign w:val="bottom"/>
            <w:hideMark/>
          </w:tcPr>
          <w:p w14:paraId="5D36482B"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124,570</w:t>
            </w:r>
          </w:p>
        </w:tc>
      </w:tr>
      <w:tr w:rsidR="00326140" w:rsidRPr="00326140" w14:paraId="10F11DD9"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B1FEF7C"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Del Norte</w:t>
            </w:r>
          </w:p>
        </w:tc>
        <w:tc>
          <w:tcPr>
            <w:tcW w:w="1720" w:type="dxa"/>
            <w:tcBorders>
              <w:top w:val="nil"/>
              <w:left w:val="nil"/>
              <w:bottom w:val="single" w:sz="4" w:space="0" w:color="auto"/>
              <w:right w:val="single" w:sz="4" w:space="0" w:color="auto"/>
            </w:tcBorders>
            <w:shd w:val="clear" w:color="auto" w:fill="auto"/>
            <w:noWrap/>
            <w:vAlign w:val="bottom"/>
            <w:hideMark/>
          </w:tcPr>
          <w:p w14:paraId="23334230"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50,000</w:t>
            </w:r>
          </w:p>
        </w:tc>
        <w:tc>
          <w:tcPr>
            <w:tcW w:w="1780" w:type="dxa"/>
            <w:tcBorders>
              <w:top w:val="nil"/>
              <w:left w:val="nil"/>
              <w:bottom w:val="single" w:sz="4" w:space="0" w:color="auto"/>
              <w:right w:val="single" w:sz="4" w:space="0" w:color="auto"/>
            </w:tcBorders>
            <w:shd w:val="clear" w:color="auto" w:fill="auto"/>
            <w:noWrap/>
            <w:vAlign w:val="bottom"/>
            <w:hideMark/>
          </w:tcPr>
          <w:p w14:paraId="007EF2A0"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44,250</w:t>
            </w:r>
          </w:p>
        </w:tc>
        <w:tc>
          <w:tcPr>
            <w:tcW w:w="1840" w:type="dxa"/>
            <w:tcBorders>
              <w:top w:val="nil"/>
              <w:left w:val="nil"/>
              <w:bottom w:val="single" w:sz="4" w:space="0" w:color="auto"/>
              <w:right w:val="single" w:sz="4" w:space="0" w:color="auto"/>
            </w:tcBorders>
            <w:shd w:val="clear" w:color="auto" w:fill="auto"/>
            <w:noWrap/>
            <w:vAlign w:val="bottom"/>
            <w:hideMark/>
          </w:tcPr>
          <w:p w14:paraId="212E86AB"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94,250</w:t>
            </w:r>
          </w:p>
        </w:tc>
      </w:tr>
      <w:tr w:rsidR="00326140" w:rsidRPr="00326140" w14:paraId="10AE768F"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D12D701"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El Dorado</w:t>
            </w:r>
          </w:p>
        </w:tc>
        <w:tc>
          <w:tcPr>
            <w:tcW w:w="1720" w:type="dxa"/>
            <w:tcBorders>
              <w:top w:val="nil"/>
              <w:left w:val="nil"/>
              <w:bottom w:val="single" w:sz="4" w:space="0" w:color="auto"/>
              <w:right w:val="single" w:sz="4" w:space="0" w:color="auto"/>
            </w:tcBorders>
            <w:shd w:val="clear" w:color="auto" w:fill="auto"/>
            <w:noWrap/>
            <w:vAlign w:val="bottom"/>
            <w:hideMark/>
          </w:tcPr>
          <w:p w14:paraId="26CEEFEF"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15,000</w:t>
            </w:r>
          </w:p>
        </w:tc>
        <w:tc>
          <w:tcPr>
            <w:tcW w:w="1780" w:type="dxa"/>
            <w:tcBorders>
              <w:top w:val="nil"/>
              <w:left w:val="nil"/>
              <w:bottom w:val="single" w:sz="4" w:space="0" w:color="auto"/>
              <w:right w:val="single" w:sz="4" w:space="0" w:color="auto"/>
            </w:tcBorders>
            <w:shd w:val="clear" w:color="auto" w:fill="auto"/>
            <w:noWrap/>
            <w:vAlign w:val="bottom"/>
            <w:hideMark/>
          </w:tcPr>
          <w:p w14:paraId="6BD7663F"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15,488</w:t>
            </w:r>
          </w:p>
        </w:tc>
        <w:tc>
          <w:tcPr>
            <w:tcW w:w="1840" w:type="dxa"/>
            <w:tcBorders>
              <w:top w:val="nil"/>
              <w:left w:val="nil"/>
              <w:bottom w:val="single" w:sz="4" w:space="0" w:color="auto"/>
              <w:right w:val="single" w:sz="4" w:space="0" w:color="auto"/>
            </w:tcBorders>
            <w:shd w:val="clear" w:color="auto" w:fill="auto"/>
            <w:noWrap/>
            <w:vAlign w:val="bottom"/>
            <w:hideMark/>
          </w:tcPr>
          <w:p w14:paraId="417A6CD8"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30,488</w:t>
            </w:r>
          </w:p>
        </w:tc>
      </w:tr>
      <w:tr w:rsidR="00326140" w:rsidRPr="00326140" w14:paraId="04FB3D14"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007087F"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Glenn</w:t>
            </w:r>
          </w:p>
        </w:tc>
        <w:tc>
          <w:tcPr>
            <w:tcW w:w="1720" w:type="dxa"/>
            <w:tcBorders>
              <w:top w:val="nil"/>
              <w:left w:val="nil"/>
              <w:bottom w:val="single" w:sz="4" w:space="0" w:color="auto"/>
              <w:right w:val="single" w:sz="4" w:space="0" w:color="auto"/>
            </w:tcBorders>
            <w:shd w:val="clear" w:color="auto" w:fill="auto"/>
            <w:noWrap/>
            <w:vAlign w:val="bottom"/>
            <w:hideMark/>
          </w:tcPr>
          <w:p w14:paraId="78DD9A9E"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10,000</w:t>
            </w:r>
          </w:p>
        </w:tc>
        <w:tc>
          <w:tcPr>
            <w:tcW w:w="1780" w:type="dxa"/>
            <w:tcBorders>
              <w:top w:val="nil"/>
              <w:left w:val="nil"/>
              <w:bottom w:val="single" w:sz="4" w:space="0" w:color="auto"/>
              <w:right w:val="single" w:sz="4" w:space="0" w:color="auto"/>
            </w:tcBorders>
            <w:shd w:val="clear" w:color="auto" w:fill="auto"/>
            <w:noWrap/>
            <w:vAlign w:val="bottom"/>
            <w:hideMark/>
          </w:tcPr>
          <w:p w14:paraId="68819F39"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13,275</w:t>
            </w:r>
          </w:p>
        </w:tc>
        <w:tc>
          <w:tcPr>
            <w:tcW w:w="1840" w:type="dxa"/>
            <w:tcBorders>
              <w:top w:val="nil"/>
              <w:left w:val="nil"/>
              <w:bottom w:val="single" w:sz="4" w:space="0" w:color="auto"/>
              <w:right w:val="single" w:sz="4" w:space="0" w:color="auto"/>
            </w:tcBorders>
            <w:shd w:val="clear" w:color="auto" w:fill="auto"/>
            <w:noWrap/>
            <w:vAlign w:val="bottom"/>
            <w:hideMark/>
          </w:tcPr>
          <w:p w14:paraId="4FC6496A"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23,275</w:t>
            </w:r>
          </w:p>
        </w:tc>
      </w:tr>
      <w:tr w:rsidR="00326140" w:rsidRPr="00326140" w14:paraId="62ADEABB"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562EC60"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Humboldt</w:t>
            </w:r>
          </w:p>
        </w:tc>
        <w:tc>
          <w:tcPr>
            <w:tcW w:w="1720" w:type="dxa"/>
            <w:tcBorders>
              <w:top w:val="nil"/>
              <w:left w:val="nil"/>
              <w:bottom w:val="single" w:sz="4" w:space="0" w:color="auto"/>
              <w:right w:val="single" w:sz="4" w:space="0" w:color="auto"/>
            </w:tcBorders>
            <w:shd w:val="clear" w:color="auto" w:fill="auto"/>
            <w:noWrap/>
            <w:vAlign w:val="bottom"/>
            <w:hideMark/>
          </w:tcPr>
          <w:p w14:paraId="2F12FCFC"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0</w:t>
            </w:r>
          </w:p>
        </w:tc>
        <w:tc>
          <w:tcPr>
            <w:tcW w:w="1780" w:type="dxa"/>
            <w:tcBorders>
              <w:top w:val="nil"/>
              <w:left w:val="nil"/>
              <w:bottom w:val="single" w:sz="4" w:space="0" w:color="auto"/>
              <w:right w:val="single" w:sz="4" w:space="0" w:color="auto"/>
            </w:tcBorders>
            <w:shd w:val="clear" w:color="auto" w:fill="auto"/>
            <w:noWrap/>
            <w:vAlign w:val="bottom"/>
            <w:hideMark/>
          </w:tcPr>
          <w:p w14:paraId="06802EC9"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30,975</w:t>
            </w:r>
          </w:p>
        </w:tc>
        <w:tc>
          <w:tcPr>
            <w:tcW w:w="1840" w:type="dxa"/>
            <w:tcBorders>
              <w:top w:val="nil"/>
              <w:left w:val="nil"/>
              <w:bottom w:val="single" w:sz="4" w:space="0" w:color="auto"/>
              <w:right w:val="single" w:sz="4" w:space="0" w:color="auto"/>
            </w:tcBorders>
            <w:shd w:val="clear" w:color="auto" w:fill="auto"/>
            <w:noWrap/>
            <w:vAlign w:val="bottom"/>
            <w:hideMark/>
          </w:tcPr>
          <w:p w14:paraId="7E8F8352"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30,975</w:t>
            </w:r>
          </w:p>
        </w:tc>
      </w:tr>
      <w:tr w:rsidR="00326140" w:rsidRPr="00326140" w14:paraId="1EC2B05D"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512F135"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Imperial</w:t>
            </w:r>
          </w:p>
        </w:tc>
        <w:tc>
          <w:tcPr>
            <w:tcW w:w="1720" w:type="dxa"/>
            <w:tcBorders>
              <w:top w:val="nil"/>
              <w:left w:val="nil"/>
              <w:bottom w:val="single" w:sz="4" w:space="0" w:color="auto"/>
              <w:right w:val="single" w:sz="4" w:space="0" w:color="auto"/>
            </w:tcBorders>
            <w:shd w:val="clear" w:color="auto" w:fill="auto"/>
            <w:noWrap/>
            <w:vAlign w:val="bottom"/>
            <w:hideMark/>
          </w:tcPr>
          <w:p w14:paraId="02BC5FF7"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0</w:t>
            </w:r>
          </w:p>
        </w:tc>
        <w:tc>
          <w:tcPr>
            <w:tcW w:w="1780" w:type="dxa"/>
            <w:tcBorders>
              <w:top w:val="nil"/>
              <w:left w:val="nil"/>
              <w:bottom w:val="single" w:sz="4" w:space="0" w:color="auto"/>
              <w:right w:val="single" w:sz="4" w:space="0" w:color="auto"/>
            </w:tcBorders>
            <w:shd w:val="clear" w:color="auto" w:fill="auto"/>
            <w:noWrap/>
            <w:vAlign w:val="bottom"/>
            <w:hideMark/>
          </w:tcPr>
          <w:p w14:paraId="0FBA34D1"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72,747</w:t>
            </w:r>
          </w:p>
        </w:tc>
        <w:tc>
          <w:tcPr>
            <w:tcW w:w="1840" w:type="dxa"/>
            <w:tcBorders>
              <w:top w:val="nil"/>
              <w:left w:val="nil"/>
              <w:bottom w:val="single" w:sz="4" w:space="0" w:color="auto"/>
              <w:right w:val="single" w:sz="4" w:space="0" w:color="auto"/>
            </w:tcBorders>
            <w:shd w:val="clear" w:color="auto" w:fill="auto"/>
            <w:noWrap/>
            <w:vAlign w:val="bottom"/>
            <w:hideMark/>
          </w:tcPr>
          <w:p w14:paraId="7588DE3D"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72,747</w:t>
            </w:r>
          </w:p>
        </w:tc>
      </w:tr>
      <w:tr w:rsidR="00326140" w:rsidRPr="00326140" w14:paraId="69E6E891"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DF4B056"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Inyo</w:t>
            </w:r>
          </w:p>
        </w:tc>
        <w:tc>
          <w:tcPr>
            <w:tcW w:w="1720" w:type="dxa"/>
            <w:tcBorders>
              <w:top w:val="nil"/>
              <w:left w:val="nil"/>
              <w:bottom w:val="single" w:sz="4" w:space="0" w:color="auto"/>
              <w:right w:val="single" w:sz="4" w:space="0" w:color="auto"/>
            </w:tcBorders>
            <w:shd w:val="clear" w:color="auto" w:fill="auto"/>
            <w:noWrap/>
            <w:vAlign w:val="bottom"/>
            <w:hideMark/>
          </w:tcPr>
          <w:p w14:paraId="1F1D90D6"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38,500</w:t>
            </w:r>
          </w:p>
        </w:tc>
        <w:tc>
          <w:tcPr>
            <w:tcW w:w="1780" w:type="dxa"/>
            <w:tcBorders>
              <w:top w:val="nil"/>
              <w:left w:val="nil"/>
              <w:bottom w:val="single" w:sz="4" w:space="0" w:color="auto"/>
              <w:right w:val="single" w:sz="4" w:space="0" w:color="auto"/>
            </w:tcBorders>
            <w:shd w:val="clear" w:color="auto" w:fill="auto"/>
            <w:noWrap/>
            <w:vAlign w:val="bottom"/>
            <w:hideMark/>
          </w:tcPr>
          <w:p w14:paraId="4C4A210E"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34,073</w:t>
            </w:r>
          </w:p>
        </w:tc>
        <w:tc>
          <w:tcPr>
            <w:tcW w:w="1840" w:type="dxa"/>
            <w:tcBorders>
              <w:top w:val="nil"/>
              <w:left w:val="nil"/>
              <w:bottom w:val="single" w:sz="4" w:space="0" w:color="auto"/>
              <w:right w:val="single" w:sz="4" w:space="0" w:color="auto"/>
            </w:tcBorders>
            <w:shd w:val="clear" w:color="auto" w:fill="auto"/>
            <w:noWrap/>
            <w:vAlign w:val="bottom"/>
            <w:hideMark/>
          </w:tcPr>
          <w:p w14:paraId="52E30295"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72,573</w:t>
            </w:r>
          </w:p>
        </w:tc>
      </w:tr>
      <w:tr w:rsidR="00326140" w:rsidRPr="00326140" w14:paraId="603CECD9"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A74E5BB"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Kern</w:t>
            </w:r>
          </w:p>
        </w:tc>
        <w:tc>
          <w:tcPr>
            <w:tcW w:w="1720" w:type="dxa"/>
            <w:tcBorders>
              <w:top w:val="nil"/>
              <w:left w:val="nil"/>
              <w:bottom w:val="single" w:sz="4" w:space="0" w:color="auto"/>
              <w:right w:val="single" w:sz="4" w:space="0" w:color="auto"/>
            </w:tcBorders>
            <w:shd w:val="clear" w:color="auto" w:fill="auto"/>
            <w:noWrap/>
            <w:vAlign w:val="bottom"/>
            <w:hideMark/>
          </w:tcPr>
          <w:p w14:paraId="519E15B8"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139,535</w:t>
            </w:r>
          </w:p>
        </w:tc>
        <w:tc>
          <w:tcPr>
            <w:tcW w:w="1780" w:type="dxa"/>
            <w:tcBorders>
              <w:top w:val="nil"/>
              <w:left w:val="nil"/>
              <w:bottom w:val="single" w:sz="4" w:space="0" w:color="auto"/>
              <w:right w:val="single" w:sz="4" w:space="0" w:color="auto"/>
            </w:tcBorders>
            <w:shd w:val="clear" w:color="auto" w:fill="auto"/>
            <w:noWrap/>
            <w:vAlign w:val="bottom"/>
            <w:hideMark/>
          </w:tcPr>
          <w:p w14:paraId="38B40511"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95,098</w:t>
            </w:r>
          </w:p>
        </w:tc>
        <w:tc>
          <w:tcPr>
            <w:tcW w:w="1840" w:type="dxa"/>
            <w:tcBorders>
              <w:top w:val="nil"/>
              <w:left w:val="nil"/>
              <w:bottom w:val="single" w:sz="4" w:space="0" w:color="auto"/>
              <w:right w:val="single" w:sz="4" w:space="0" w:color="auto"/>
            </w:tcBorders>
            <w:shd w:val="clear" w:color="auto" w:fill="auto"/>
            <w:noWrap/>
            <w:vAlign w:val="bottom"/>
            <w:hideMark/>
          </w:tcPr>
          <w:p w14:paraId="6D33331E"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234,633</w:t>
            </w:r>
          </w:p>
        </w:tc>
      </w:tr>
      <w:tr w:rsidR="00326140" w:rsidRPr="00326140" w14:paraId="44A54E58"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C5730DA"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Lassen</w:t>
            </w:r>
          </w:p>
        </w:tc>
        <w:tc>
          <w:tcPr>
            <w:tcW w:w="1720" w:type="dxa"/>
            <w:tcBorders>
              <w:top w:val="nil"/>
              <w:left w:val="nil"/>
              <w:bottom w:val="single" w:sz="4" w:space="0" w:color="auto"/>
              <w:right w:val="single" w:sz="4" w:space="0" w:color="auto"/>
            </w:tcBorders>
            <w:shd w:val="clear" w:color="auto" w:fill="auto"/>
            <w:noWrap/>
            <w:vAlign w:val="bottom"/>
            <w:hideMark/>
          </w:tcPr>
          <w:p w14:paraId="57F9E3E0"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57,600</w:t>
            </w:r>
          </w:p>
        </w:tc>
        <w:tc>
          <w:tcPr>
            <w:tcW w:w="1780" w:type="dxa"/>
            <w:tcBorders>
              <w:top w:val="nil"/>
              <w:left w:val="nil"/>
              <w:bottom w:val="single" w:sz="4" w:space="0" w:color="auto"/>
              <w:right w:val="single" w:sz="4" w:space="0" w:color="auto"/>
            </w:tcBorders>
            <w:shd w:val="clear" w:color="auto" w:fill="auto"/>
            <w:noWrap/>
            <w:vAlign w:val="bottom"/>
            <w:hideMark/>
          </w:tcPr>
          <w:p w14:paraId="28A7E98F"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50,976</w:t>
            </w:r>
          </w:p>
        </w:tc>
        <w:tc>
          <w:tcPr>
            <w:tcW w:w="1840" w:type="dxa"/>
            <w:tcBorders>
              <w:top w:val="nil"/>
              <w:left w:val="nil"/>
              <w:bottom w:val="single" w:sz="4" w:space="0" w:color="auto"/>
              <w:right w:val="single" w:sz="4" w:space="0" w:color="auto"/>
            </w:tcBorders>
            <w:shd w:val="clear" w:color="auto" w:fill="auto"/>
            <w:noWrap/>
            <w:vAlign w:val="bottom"/>
            <w:hideMark/>
          </w:tcPr>
          <w:p w14:paraId="4CB7DCFA"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108,576</w:t>
            </w:r>
          </w:p>
        </w:tc>
      </w:tr>
      <w:tr w:rsidR="00326140" w:rsidRPr="00326140" w14:paraId="2504E762"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4BB528C"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Long Beach</w:t>
            </w:r>
          </w:p>
        </w:tc>
        <w:tc>
          <w:tcPr>
            <w:tcW w:w="1720" w:type="dxa"/>
            <w:tcBorders>
              <w:top w:val="nil"/>
              <w:left w:val="nil"/>
              <w:bottom w:val="single" w:sz="4" w:space="0" w:color="auto"/>
              <w:right w:val="single" w:sz="4" w:space="0" w:color="auto"/>
            </w:tcBorders>
            <w:shd w:val="clear" w:color="auto" w:fill="auto"/>
            <w:noWrap/>
            <w:vAlign w:val="bottom"/>
            <w:hideMark/>
          </w:tcPr>
          <w:p w14:paraId="715A90C2"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4,000</w:t>
            </w:r>
          </w:p>
        </w:tc>
        <w:tc>
          <w:tcPr>
            <w:tcW w:w="1780" w:type="dxa"/>
            <w:tcBorders>
              <w:top w:val="nil"/>
              <w:left w:val="nil"/>
              <w:bottom w:val="single" w:sz="4" w:space="0" w:color="auto"/>
              <w:right w:val="single" w:sz="4" w:space="0" w:color="auto"/>
            </w:tcBorders>
            <w:shd w:val="clear" w:color="auto" w:fill="auto"/>
            <w:noWrap/>
            <w:vAlign w:val="bottom"/>
            <w:hideMark/>
          </w:tcPr>
          <w:p w14:paraId="3A7062C1"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26,550</w:t>
            </w:r>
          </w:p>
        </w:tc>
        <w:tc>
          <w:tcPr>
            <w:tcW w:w="1840" w:type="dxa"/>
            <w:tcBorders>
              <w:top w:val="nil"/>
              <w:left w:val="nil"/>
              <w:bottom w:val="single" w:sz="4" w:space="0" w:color="auto"/>
              <w:right w:val="single" w:sz="4" w:space="0" w:color="auto"/>
            </w:tcBorders>
            <w:shd w:val="clear" w:color="auto" w:fill="auto"/>
            <w:noWrap/>
            <w:vAlign w:val="bottom"/>
            <w:hideMark/>
          </w:tcPr>
          <w:p w14:paraId="04895EC2"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30,550</w:t>
            </w:r>
          </w:p>
        </w:tc>
      </w:tr>
      <w:tr w:rsidR="00326140" w:rsidRPr="00326140" w14:paraId="53ABA49A"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82D6933"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Los Angeles</w:t>
            </w:r>
          </w:p>
        </w:tc>
        <w:tc>
          <w:tcPr>
            <w:tcW w:w="1720" w:type="dxa"/>
            <w:tcBorders>
              <w:top w:val="nil"/>
              <w:left w:val="nil"/>
              <w:bottom w:val="single" w:sz="4" w:space="0" w:color="auto"/>
              <w:right w:val="single" w:sz="4" w:space="0" w:color="auto"/>
            </w:tcBorders>
            <w:shd w:val="clear" w:color="auto" w:fill="auto"/>
            <w:noWrap/>
            <w:vAlign w:val="bottom"/>
            <w:hideMark/>
          </w:tcPr>
          <w:p w14:paraId="1129B820"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200,000</w:t>
            </w:r>
          </w:p>
        </w:tc>
        <w:tc>
          <w:tcPr>
            <w:tcW w:w="1780" w:type="dxa"/>
            <w:tcBorders>
              <w:top w:val="nil"/>
              <w:left w:val="nil"/>
              <w:bottom w:val="single" w:sz="4" w:space="0" w:color="auto"/>
              <w:right w:val="single" w:sz="4" w:space="0" w:color="auto"/>
            </w:tcBorders>
            <w:shd w:val="clear" w:color="auto" w:fill="auto"/>
            <w:noWrap/>
            <w:vAlign w:val="bottom"/>
            <w:hideMark/>
          </w:tcPr>
          <w:p w14:paraId="08895B00"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177,000</w:t>
            </w:r>
          </w:p>
        </w:tc>
        <w:tc>
          <w:tcPr>
            <w:tcW w:w="1840" w:type="dxa"/>
            <w:tcBorders>
              <w:top w:val="nil"/>
              <w:left w:val="nil"/>
              <w:bottom w:val="single" w:sz="4" w:space="0" w:color="auto"/>
              <w:right w:val="single" w:sz="4" w:space="0" w:color="auto"/>
            </w:tcBorders>
            <w:shd w:val="clear" w:color="auto" w:fill="auto"/>
            <w:noWrap/>
            <w:vAlign w:val="bottom"/>
            <w:hideMark/>
          </w:tcPr>
          <w:p w14:paraId="1874CB65"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377,000</w:t>
            </w:r>
          </w:p>
        </w:tc>
      </w:tr>
      <w:tr w:rsidR="00326140" w:rsidRPr="00326140" w14:paraId="538AE26E"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AD689A6"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Madera</w:t>
            </w:r>
          </w:p>
        </w:tc>
        <w:tc>
          <w:tcPr>
            <w:tcW w:w="1720" w:type="dxa"/>
            <w:tcBorders>
              <w:top w:val="nil"/>
              <w:left w:val="nil"/>
              <w:bottom w:val="single" w:sz="4" w:space="0" w:color="auto"/>
              <w:right w:val="single" w:sz="4" w:space="0" w:color="auto"/>
            </w:tcBorders>
            <w:shd w:val="clear" w:color="auto" w:fill="auto"/>
            <w:noWrap/>
            <w:vAlign w:val="bottom"/>
            <w:hideMark/>
          </w:tcPr>
          <w:p w14:paraId="136BA01D"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6,920</w:t>
            </w:r>
          </w:p>
        </w:tc>
        <w:tc>
          <w:tcPr>
            <w:tcW w:w="1780" w:type="dxa"/>
            <w:tcBorders>
              <w:top w:val="nil"/>
              <w:left w:val="nil"/>
              <w:bottom w:val="single" w:sz="4" w:space="0" w:color="auto"/>
              <w:right w:val="single" w:sz="4" w:space="0" w:color="auto"/>
            </w:tcBorders>
            <w:shd w:val="clear" w:color="auto" w:fill="auto"/>
            <w:noWrap/>
            <w:vAlign w:val="bottom"/>
            <w:hideMark/>
          </w:tcPr>
          <w:p w14:paraId="22EA4749"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885</w:t>
            </w:r>
          </w:p>
        </w:tc>
        <w:tc>
          <w:tcPr>
            <w:tcW w:w="1840" w:type="dxa"/>
            <w:tcBorders>
              <w:top w:val="nil"/>
              <w:left w:val="nil"/>
              <w:bottom w:val="single" w:sz="4" w:space="0" w:color="auto"/>
              <w:right w:val="single" w:sz="4" w:space="0" w:color="auto"/>
            </w:tcBorders>
            <w:shd w:val="clear" w:color="auto" w:fill="auto"/>
            <w:noWrap/>
            <w:vAlign w:val="bottom"/>
            <w:hideMark/>
          </w:tcPr>
          <w:p w14:paraId="10BD91B1"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7,805</w:t>
            </w:r>
          </w:p>
        </w:tc>
      </w:tr>
      <w:tr w:rsidR="00326140" w:rsidRPr="00326140" w14:paraId="318496AA"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21D7978"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Mariposa</w:t>
            </w:r>
          </w:p>
        </w:tc>
        <w:tc>
          <w:tcPr>
            <w:tcW w:w="1720" w:type="dxa"/>
            <w:tcBorders>
              <w:top w:val="nil"/>
              <w:left w:val="nil"/>
              <w:bottom w:val="single" w:sz="4" w:space="0" w:color="auto"/>
              <w:right w:val="single" w:sz="4" w:space="0" w:color="auto"/>
            </w:tcBorders>
            <w:shd w:val="clear" w:color="auto" w:fill="auto"/>
            <w:noWrap/>
            <w:vAlign w:val="bottom"/>
            <w:hideMark/>
          </w:tcPr>
          <w:p w14:paraId="0FC9AC77"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17,530</w:t>
            </w:r>
          </w:p>
        </w:tc>
        <w:tc>
          <w:tcPr>
            <w:tcW w:w="1780" w:type="dxa"/>
            <w:tcBorders>
              <w:top w:val="nil"/>
              <w:left w:val="nil"/>
              <w:bottom w:val="single" w:sz="4" w:space="0" w:color="auto"/>
              <w:right w:val="single" w:sz="4" w:space="0" w:color="auto"/>
            </w:tcBorders>
            <w:shd w:val="clear" w:color="auto" w:fill="auto"/>
            <w:noWrap/>
            <w:vAlign w:val="bottom"/>
            <w:hideMark/>
          </w:tcPr>
          <w:p w14:paraId="46EA09BA"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14,318</w:t>
            </w:r>
          </w:p>
        </w:tc>
        <w:tc>
          <w:tcPr>
            <w:tcW w:w="1840" w:type="dxa"/>
            <w:tcBorders>
              <w:top w:val="nil"/>
              <w:left w:val="nil"/>
              <w:bottom w:val="single" w:sz="4" w:space="0" w:color="auto"/>
              <w:right w:val="single" w:sz="4" w:space="0" w:color="auto"/>
            </w:tcBorders>
            <w:shd w:val="clear" w:color="auto" w:fill="auto"/>
            <w:noWrap/>
            <w:vAlign w:val="bottom"/>
            <w:hideMark/>
          </w:tcPr>
          <w:p w14:paraId="1B83FCC3"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31,848</w:t>
            </w:r>
          </w:p>
        </w:tc>
      </w:tr>
      <w:tr w:rsidR="00326140" w:rsidRPr="00326140" w14:paraId="5F30AD1A"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694B8B8"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Merced</w:t>
            </w:r>
          </w:p>
        </w:tc>
        <w:tc>
          <w:tcPr>
            <w:tcW w:w="1720" w:type="dxa"/>
            <w:tcBorders>
              <w:top w:val="nil"/>
              <w:left w:val="nil"/>
              <w:bottom w:val="single" w:sz="4" w:space="0" w:color="auto"/>
              <w:right w:val="single" w:sz="4" w:space="0" w:color="auto"/>
            </w:tcBorders>
            <w:shd w:val="clear" w:color="auto" w:fill="auto"/>
            <w:noWrap/>
            <w:vAlign w:val="bottom"/>
            <w:hideMark/>
          </w:tcPr>
          <w:p w14:paraId="527F5730"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125,000</w:t>
            </w:r>
          </w:p>
        </w:tc>
        <w:tc>
          <w:tcPr>
            <w:tcW w:w="1780" w:type="dxa"/>
            <w:tcBorders>
              <w:top w:val="nil"/>
              <w:left w:val="nil"/>
              <w:bottom w:val="single" w:sz="4" w:space="0" w:color="auto"/>
              <w:right w:val="single" w:sz="4" w:space="0" w:color="auto"/>
            </w:tcBorders>
            <w:shd w:val="clear" w:color="auto" w:fill="auto"/>
            <w:noWrap/>
            <w:vAlign w:val="bottom"/>
            <w:hideMark/>
          </w:tcPr>
          <w:p w14:paraId="7A40BF4D"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110,625</w:t>
            </w:r>
          </w:p>
        </w:tc>
        <w:tc>
          <w:tcPr>
            <w:tcW w:w="1840" w:type="dxa"/>
            <w:tcBorders>
              <w:top w:val="nil"/>
              <w:left w:val="nil"/>
              <w:bottom w:val="single" w:sz="4" w:space="0" w:color="auto"/>
              <w:right w:val="single" w:sz="4" w:space="0" w:color="auto"/>
            </w:tcBorders>
            <w:shd w:val="clear" w:color="auto" w:fill="auto"/>
            <w:noWrap/>
            <w:vAlign w:val="bottom"/>
            <w:hideMark/>
          </w:tcPr>
          <w:p w14:paraId="20F7D846"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235,625</w:t>
            </w:r>
          </w:p>
        </w:tc>
      </w:tr>
      <w:tr w:rsidR="00326140" w:rsidRPr="00326140" w14:paraId="4581568C"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96D96B5"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Modoc</w:t>
            </w:r>
          </w:p>
        </w:tc>
        <w:tc>
          <w:tcPr>
            <w:tcW w:w="1720" w:type="dxa"/>
            <w:tcBorders>
              <w:top w:val="nil"/>
              <w:left w:val="nil"/>
              <w:bottom w:val="single" w:sz="4" w:space="0" w:color="auto"/>
              <w:right w:val="single" w:sz="4" w:space="0" w:color="auto"/>
            </w:tcBorders>
            <w:shd w:val="clear" w:color="auto" w:fill="auto"/>
            <w:noWrap/>
            <w:vAlign w:val="bottom"/>
            <w:hideMark/>
          </w:tcPr>
          <w:p w14:paraId="2C3B9CE9"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6,850</w:t>
            </w:r>
          </w:p>
        </w:tc>
        <w:tc>
          <w:tcPr>
            <w:tcW w:w="1780" w:type="dxa"/>
            <w:tcBorders>
              <w:top w:val="nil"/>
              <w:left w:val="nil"/>
              <w:bottom w:val="single" w:sz="4" w:space="0" w:color="auto"/>
              <w:right w:val="single" w:sz="4" w:space="0" w:color="auto"/>
            </w:tcBorders>
            <w:shd w:val="clear" w:color="auto" w:fill="auto"/>
            <w:noWrap/>
            <w:vAlign w:val="bottom"/>
            <w:hideMark/>
          </w:tcPr>
          <w:p w14:paraId="05FF537D"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9,602</w:t>
            </w:r>
          </w:p>
        </w:tc>
        <w:tc>
          <w:tcPr>
            <w:tcW w:w="1840" w:type="dxa"/>
            <w:tcBorders>
              <w:top w:val="nil"/>
              <w:left w:val="nil"/>
              <w:bottom w:val="single" w:sz="4" w:space="0" w:color="auto"/>
              <w:right w:val="single" w:sz="4" w:space="0" w:color="auto"/>
            </w:tcBorders>
            <w:shd w:val="clear" w:color="auto" w:fill="auto"/>
            <w:noWrap/>
            <w:vAlign w:val="bottom"/>
            <w:hideMark/>
          </w:tcPr>
          <w:p w14:paraId="2F32A8C5"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16,452</w:t>
            </w:r>
          </w:p>
        </w:tc>
      </w:tr>
      <w:tr w:rsidR="00326140" w:rsidRPr="00326140" w14:paraId="4CE8427C"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DE20F8E"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Mono</w:t>
            </w:r>
          </w:p>
        </w:tc>
        <w:tc>
          <w:tcPr>
            <w:tcW w:w="1720" w:type="dxa"/>
            <w:tcBorders>
              <w:top w:val="nil"/>
              <w:left w:val="nil"/>
              <w:bottom w:val="single" w:sz="4" w:space="0" w:color="auto"/>
              <w:right w:val="single" w:sz="4" w:space="0" w:color="auto"/>
            </w:tcBorders>
            <w:shd w:val="clear" w:color="auto" w:fill="auto"/>
            <w:noWrap/>
            <w:vAlign w:val="bottom"/>
            <w:hideMark/>
          </w:tcPr>
          <w:p w14:paraId="347B7422"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11,249</w:t>
            </w:r>
          </w:p>
        </w:tc>
        <w:tc>
          <w:tcPr>
            <w:tcW w:w="1780" w:type="dxa"/>
            <w:tcBorders>
              <w:top w:val="nil"/>
              <w:left w:val="nil"/>
              <w:bottom w:val="single" w:sz="4" w:space="0" w:color="auto"/>
              <w:right w:val="single" w:sz="4" w:space="0" w:color="auto"/>
            </w:tcBorders>
            <w:shd w:val="clear" w:color="auto" w:fill="auto"/>
            <w:noWrap/>
            <w:vAlign w:val="bottom"/>
            <w:hideMark/>
          </w:tcPr>
          <w:p w14:paraId="7F230301"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5,098</w:t>
            </w:r>
          </w:p>
        </w:tc>
        <w:tc>
          <w:tcPr>
            <w:tcW w:w="1840" w:type="dxa"/>
            <w:tcBorders>
              <w:top w:val="nil"/>
              <w:left w:val="nil"/>
              <w:bottom w:val="single" w:sz="4" w:space="0" w:color="auto"/>
              <w:right w:val="single" w:sz="4" w:space="0" w:color="auto"/>
            </w:tcBorders>
            <w:shd w:val="clear" w:color="auto" w:fill="auto"/>
            <w:noWrap/>
            <w:vAlign w:val="bottom"/>
            <w:hideMark/>
          </w:tcPr>
          <w:p w14:paraId="7D374894"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16,347</w:t>
            </w:r>
          </w:p>
        </w:tc>
      </w:tr>
      <w:tr w:rsidR="00326140" w:rsidRPr="00326140" w14:paraId="14EA8F4C"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54B7E78"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Monterey</w:t>
            </w:r>
          </w:p>
        </w:tc>
        <w:tc>
          <w:tcPr>
            <w:tcW w:w="1720" w:type="dxa"/>
            <w:tcBorders>
              <w:top w:val="nil"/>
              <w:left w:val="nil"/>
              <w:bottom w:val="single" w:sz="4" w:space="0" w:color="auto"/>
              <w:right w:val="single" w:sz="4" w:space="0" w:color="auto"/>
            </w:tcBorders>
            <w:shd w:val="clear" w:color="auto" w:fill="auto"/>
            <w:noWrap/>
            <w:vAlign w:val="bottom"/>
            <w:hideMark/>
          </w:tcPr>
          <w:p w14:paraId="3C3F78E4"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15,250</w:t>
            </w:r>
          </w:p>
        </w:tc>
        <w:tc>
          <w:tcPr>
            <w:tcW w:w="1780" w:type="dxa"/>
            <w:tcBorders>
              <w:top w:val="nil"/>
              <w:left w:val="nil"/>
              <w:bottom w:val="single" w:sz="4" w:space="0" w:color="auto"/>
              <w:right w:val="single" w:sz="4" w:space="0" w:color="auto"/>
            </w:tcBorders>
            <w:shd w:val="clear" w:color="auto" w:fill="auto"/>
            <w:noWrap/>
            <w:vAlign w:val="bottom"/>
            <w:hideMark/>
          </w:tcPr>
          <w:p w14:paraId="6A0D9E9D"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46,463</w:t>
            </w:r>
          </w:p>
        </w:tc>
        <w:tc>
          <w:tcPr>
            <w:tcW w:w="1840" w:type="dxa"/>
            <w:tcBorders>
              <w:top w:val="nil"/>
              <w:left w:val="nil"/>
              <w:bottom w:val="single" w:sz="4" w:space="0" w:color="auto"/>
              <w:right w:val="single" w:sz="4" w:space="0" w:color="auto"/>
            </w:tcBorders>
            <w:shd w:val="clear" w:color="auto" w:fill="auto"/>
            <w:noWrap/>
            <w:vAlign w:val="bottom"/>
            <w:hideMark/>
          </w:tcPr>
          <w:p w14:paraId="278ADA6F"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61,713</w:t>
            </w:r>
          </w:p>
        </w:tc>
      </w:tr>
      <w:tr w:rsidR="00326140" w:rsidRPr="00326140" w14:paraId="187E5C70"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5880837"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Pasadena</w:t>
            </w:r>
          </w:p>
        </w:tc>
        <w:tc>
          <w:tcPr>
            <w:tcW w:w="1720" w:type="dxa"/>
            <w:tcBorders>
              <w:top w:val="nil"/>
              <w:left w:val="nil"/>
              <w:bottom w:val="single" w:sz="4" w:space="0" w:color="auto"/>
              <w:right w:val="single" w:sz="4" w:space="0" w:color="auto"/>
            </w:tcBorders>
            <w:shd w:val="clear" w:color="auto" w:fill="auto"/>
            <w:noWrap/>
            <w:vAlign w:val="bottom"/>
            <w:hideMark/>
          </w:tcPr>
          <w:p w14:paraId="4EAFE2E6"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27,479</w:t>
            </w:r>
          </w:p>
        </w:tc>
        <w:tc>
          <w:tcPr>
            <w:tcW w:w="1780" w:type="dxa"/>
            <w:tcBorders>
              <w:top w:val="nil"/>
              <w:left w:val="nil"/>
              <w:bottom w:val="single" w:sz="4" w:space="0" w:color="auto"/>
              <w:right w:val="single" w:sz="4" w:space="0" w:color="auto"/>
            </w:tcBorders>
            <w:shd w:val="clear" w:color="auto" w:fill="auto"/>
            <w:noWrap/>
            <w:vAlign w:val="bottom"/>
            <w:hideMark/>
          </w:tcPr>
          <w:p w14:paraId="4CA05EE1"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13,874</w:t>
            </w:r>
          </w:p>
        </w:tc>
        <w:tc>
          <w:tcPr>
            <w:tcW w:w="1840" w:type="dxa"/>
            <w:tcBorders>
              <w:top w:val="nil"/>
              <w:left w:val="nil"/>
              <w:bottom w:val="single" w:sz="4" w:space="0" w:color="auto"/>
              <w:right w:val="single" w:sz="4" w:space="0" w:color="auto"/>
            </w:tcBorders>
            <w:shd w:val="clear" w:color="auto" w:fill="auto"/>
            <w:noWrap/>
            <w:vAlign w:val="bottom"/>
            <w:hideMark/>
          </w:tcPr>
          <w:p w14:paraId="3F64C8F6"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41,353</w:t>
            </w:r>
          </w:p>
        </w:tc>
      </w:tr>
      <w:tr w:rsidR="00326140" w:rsidRPr="00326140" w14:paraId="0C863968"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2ACEAB6"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Plumas</w:t>
            </w:r>
          </w:p>
        </w:tc>
        <w:tc>
          <w:tcPr>
            <w:tcW w:w="1720" w:type="dxa"/>
            <w:tcBorders>
              <w:top w:val="nil"/>
              <w:left w:val="nil"/>
              <w:bottom w:val="single" w:sz="4" w:space="0" w:color="auto"/>
              <w:right w:val="single" w:sz="4" w:space="0" w:color="auto"/>
            </w:tcBorders>
            <w:shd w:val="clear" w:color="auto" w:fill="auto"/>
            <w:noWrap/>
            <w:vAlign w:val="bottom"/>
            <w:hideMark/>
          </w:tcPr>
          <w:p w14:paraId="7EB52087"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25,810</w:t>
            </w:r>
          </w:p>
        </w:tc>
        <w:tc>
          <w:tcPr>
            <w:tcW w:w="1780" w:type="dxa"/>
            <w:tcBorders>
              <w:top w:val="nil"/>
              <w:left w:val="nil"/>
              <w:bottom w:val="single" w:sz="4" w:space="0" w:color="auto"/>
              <w:right w:val="single" w:sz="4" w:space="0" w:color="auto"/>
            </w:tcBorders>
            <w:shd w:val="clear" w:color="auto" w:fill="auto"/>
            <w:noWrap/>
            <w:vAlign w:val="bottom"/>
            <w:hideMark/>
          </w:tcPr>
          <w:p w14:paraId="05ADE823"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24,222</w:t>
            </w:r>
          </w:p>
        </w:tc>
        <w:tc>
          <w:tcPr>
            <w:tcW w:w="1840" w:type="dxa"/>
            <w:tcBorders>
              <w:top w:val="nil"/>
              <w:left w:val="nil"/>
              <w:bottom w:val="single" w:sz="4" w:space="0" w:color="auto"/>
              <w:right w:val="single" w:sz="4" w:space="0" w:color="auto"/>
            </w:tcBorders>
            <w:shd w:val="clear" w:color="auto" w:fill="auto"/>
            <w:noWrap/>
            <w:vAlign w:val="bottom"/>
            <w:hideMark/>
          </w:tcPr>
          <w:p w14:paraId="7BAF3B63"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50,032</w:t>
            </w:r>
          </w:p>
        </w:tc>
      </w:tr>
      <w:tr w:rsidR="00326140" w:rsidRPr="00326140" w14:paraId="253A383E"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45508C0"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Sacramento</w:t>
            </w:r>
          </w:p>
        </w:tc>
        <w:tc>
          <w:tcPr>
            <w:tcW w:w="1720" w:type="dxa"/>
            <w:tcBorders>
              <w:top w:val="nil"/>
              <w:left w:val="nil"/>
              <w:bottom w:val="single" w:sz="4" w:space="0" w:color="auto"/>
              <w:right w:val="single" w:sz="4" w:space="0" w:color="auto"/>
            </w:tcBorders>
            <w:shd w:val="clear" w:color="auto" w:fill="auto"/>
            <w:noWrap/>
            <w:vAlign w:val="bottom"/>
            <w:hideMark/>
          </w:tcPr>
          <w:p w14:paraId="1D3D698C"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50,800</w:t>
            </w:r>
          </w:p>
        </w:tc>
        <w:tc>
          <w:tcPr>
            <w:tcW w:w="1780" w:type="dxa"/>
            <w:tcBorders>
              <w:top w:val="nil"/>
              <w:left w:val="nil"/>
              <w:bottom w:val="single" w:sz="4" w:space="0" w:color="auto"/>
              <w:right w:val="single" w:sz="4" w:space="0" w:color="auto"/>
            </w:tcBorders>
            <w:shd w:val="clear" w:color="auto" w:fill="auto"/>
            <w:noWrap/>
            <w:vAlign w:val="bottom"/>
            <w:hideMark/>
          </w:tcPr>
          <w:p w14:paraId="5806D163"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2,536</w:t>
            </w:r>
          </w:p>
        </w:tc>
        <w:tc>
          <w:tcPr>
            <w:tcW w:w="1840" w:type="dxa"/>
            <w:tcBorders>
              <w:top w:val="nil"/>
              <w:left w:val="nil"/>
              <w:bottom w:val="single" w:sz="4" w:space="0" w:color="auto"/>
              <w:right w:val="single" w:sz="4" w:space="0" w:color="auto"/>
            </w:tcBorders>
            <w:shd w:val="clear" w:color="auto" w:fill="auto"/>
            <w:noWrap/>
            <w:vAlign w:val="bottom"/>
            <w:hideMark/>
          </w:tcPr>
          <w:p w14:paraId="189B9F47"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53,336</w:t>
            </w:r>
          </w:p>
        </w:tc>
      </w:tr>
      <w:tr w:rsidR="00326140" w:rsidRPr="00326140" w14:paraId="7F1F7D88"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58C6702"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San Diego</w:t>
            </w:r>
          </w:p>
        </w:tc>
        <w:tc>
          <w:tcPr>
            <w:tcW w:w="1720" w:type="dxa"/>
            <w:tcBorders>
              <w:top w:val="nil"/>
              <w:left w:val="nil"/>
              <w:bottom w:val="single" w:sz="4" w:space="0" w:color="auto"/>
              <w:right w:val="single" w:sz="4" w:space="0" w:color="auto"/>
            </w:tcBorders>
            <w:shd w:val="clear" w:color="auto" w:fill="auto"/>
            <w:noWrap/>
            <w:vAlign w:val="bottom"/>
            <w:hideMark/>
          </w:tcPr>
          <w:p w14:paraId="36589251"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61,875</w:t>
            </w:r>
          </w:p>
        </w:tc>
        <w:tc>
          <w:tcPr>
            <w:tcW w:w="1780" w:type="dxa"/>
            <w:tcBorders>
              <w:top w:val="nil"/>
              <w:left w:val="nil"/>
              <w:bottom w:val="single" w:sz="4" w:space="0" w:color="auto"/>
              <w:right w:val="single" w:sz="4" w:space="0" w:color="auto"/>
            </w:tcBorders>
            <w:shd w:val="clear" w:color="auto" w:fill="auto"/>
            <w:noWrap/>
            <w:vAlign w:val="bottom"/>
            <w:hideMark/>
          </w:tcPr>
          <w:p w14:paraId="7EF1F80D"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54,759</w:t>
            </w:r>
          </w:p>
        </w:tc>
        <w:tc>
          <w:tcPr>
            <w:tcW w:w="1840" w:type="dxa"/>
            <w:tcBorders>
              <w:top w:val="nil"/>
              <w:left w:val="nil"/>
              <w:bottom w:val="single" w:sz="4" w:space="0" w:color="auto"/>
              <w:right w:val="single" w:sz="4" w:space="0" w:color="auto"/>
            </w:tcBorders>
            <w:shd w:val="clear" w:color="auto" w:fill="auto"/>
            <w:noWrap/>
            <w:vAlign w:val="bottom"/>
            <w:hideMark/>
          </w:tcPr>
          <w:p w14:paraId="23C607A1"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116,634</w:t>
            </w:r>
          </w:p>
        </w:tc>
      </w:tr>
      <w:tr w:rsidR="00326140" w:rsidRPr="00326140" w14:paraId="31DFEFF3"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61FC6A2"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San Joaquin</w:t>
            </w:r>
          </w:p>
        </w:tc>
        <w:tc>
          <w:tcPr>
            <w:tcW w:w="1720" w:type="dxa"/>
            <w:tcBorders>
              <w:top w:val="nil"/>
              <w:left w:val="nil"/>
              <w:bottom w:val="single" w:sz="4" w:space="0" w:color="auto"/>
              <w:right w:val="single" w:sz="4" w:space="0" w:color="auto"/>
            </w:tcBorders>
            <w:shd w:val="clear" w:color="auto" w:fill="auto"/>
            <w:noWrap/>
            <w:vAlign w:val="bottom"/>
            <w:hideMark/>
          </w:tcPr>
          <w:p w14:paraId="3C143B59"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0</w:t>
            </w:r>
          </w:p>
        </w:tc>
        <w:tc>
          <w:tcPr>
            <w:tcW w:w="1780" w:type="dxa"/>
            <w:tcBorders>
              <w:top w:val="nil"/>
              <w:left w:val="nil"/>
              <w:bottom w:val="single" w:sz="4" w:space="0" w:color="auto"/>
              <w:right w:val="single" w:sz="4" w:space="0" w:color="auto"/>
            </w:tcBorders>
            <w:shd w:val="clear" w:color="auto" w:fill="auto"/>
            <w:noWrap/>
            <w:vAlign w:val="bottom"/>
            <w:hideMark/>
          </w:tcPr>
          <w:p w14:paraId="6F35A0F7"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36,285</w:t>
            </w:r>
          </w:p>
        </w:tc>
        <w:tc>
          <w:tcPr>
            <w:tcW w:w="1840" w:type="dxa"/>
            <w:tcBorders>
              <w:top w:val="nil"/>
              <w:left w:val="nil"/>
              <w:bottom w:val="single" w:sz="4" w:space="0" w:color="auto"/>
              <w:right w:val="single" w:sz="4" w:space="0" w:color="auto"/>
            </w:tcBorders>
            <w:shd w:val="clear" w:color="auto" w:fill="auto"/>
            <w:noWrap/>
            <w:vAlign w:val="bottom"/>
            <w:hideMark/>
          </w:tcPr>
          <w:p w14:paraId="776D298D"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36,285</w:t>
            </w:r>
          </w:p>
        </w:tc>
      </w:tr>
      <w:tr w:rsidR="00326140" w:rsidRPr="00326140" w14:paraId="24E73723"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704FC24"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Shasta</w:t>
            </w:r>
          </w:p>
        </w:tc>
        <w:tc>
          <w:tcPr>
            <w:tcW w:w="1720" w:type="dxa"/>
            <w:tcBorders>
              <w:top w:val="nil"/>
              <w:left w:val="nil"/>
              <w:bottom w:val="single" w:sz="4" w:space="0" w:color="auto"/>
              <w:right w:val="single" w:sz="4" w:space="0" w:color="auto"/>
            </w:tcBorders>
            <w:shd w:val="clear" w:color="auto" w:fill="auto"/>
            <w:noWrap/>
            <w:vAlign w:val="bottom"/>
            <w:hideMark/>
          </w:tcPr>
          <w:p w14:paraId="1549DA21"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16,680</w:t>
            </w:r>
          </w:p>
        </w:tc>
        <w:tc>
          <w:tcPr>
            <w:tcW w:w="1780" w:type="dxa"/>
            <w:tcBorders>
              <w:top w:val="nil"/>
              <w:left w:val="nil"/>
              <w:bottom w:val="single" w:sz="4" w:space="0" w:color="auto"/>
              <w:right w:val="single" w:sz="4" w:space="0" w:color="auto"/>
            </w:tcBorders>
            <w:shd w:val="clear" w:color="auto" w:fill="auto"/>
            <w:noWrap/>
            <w:vAlign w:val="bottom"/>
            <w:hideMark/>
          </w:tcPr>
          <w:p w14:paraId="4D41F0F0"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55,472</w:t>
            </w:r>
          </w:p>
        </w:tc>
        <w:tc>
          <w:tcPr>
            <w:tcW w:w="1840" w:type="dxa"/>
            <w:tcBorders>
              <w:top w:val="nil"/>
              <w:left w:val="nil"/>
              <w:bottom w:val="single" w:sz="4" w:space="0" w:color="auto"/>
              <w:right w:val="single" w:sz="4" w:space="0" w:color="auto"/>
            </w:tcBorders>
            <w:shd w:val="clear" w:color="auto" w:fill="auto"/>
            <w:noWrap/>
            <w:vAlign w:val="bottom"/>
            <w:hideMark/>
          </w:tcPr>
          <w:p w14:paraId="75C515EE"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72,152</w:t>
            </w:r>
          </w:p>
        </w:tc>
      </w:tr>
      <w:tr w:rsidR="00326140" w:rsidRPr="00326140" w14:paraId="03C7148C"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53AEDF0"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Siskiyou</w:t>
            </w:r>
          </w:p>
        </w:tc>
        <w:tc>
          <w:tcPr>
            <w:tcW w:w="1720" w:type="dxa"/>
            <w:tcBorders>
              <w:top w:val="nil"/>
              <w:left w:val="nil"/>
              <w:bottom w:val="single" w:sz="4" w:space="0" w:color="auto"/>
              <w:right w:val="single" w:sz="4" w:space="0" w:color="auto"/>
            </w:tcBorders>
            <w:shd w:val="clear" w:color="auto" w:fill="auto"/>
            <w:noWrap/>
            <w:vAlign w:val="bottom"/>
            <w:hideMark/>
          </w:tcPr>
          <w:p w14:paraId="50C7012E"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30,000</w:t>
            </w:r>
          </w:p>
        </w:tc>
        <w:tc>
          <w:tcPr>
            <w:tcW w:w="1780" w:type="dxa"/>
            <w:tcBorders>
              <w:top w:val="nil"/>
              <w:left w:val="nil"/>
              <w:bottom w:val="single" w:sz="4" w:space="0" w:color="auto"/>
              <w:right w:val="single" w:sz="4" w:space="0" w:color="auto"/>
            </w:tcBorders>
            <w:shd w:val="clear" w:color="auto" w:fill="auto"/>
            <w:noWrap/>
            <w:vAlign w:val="bottom"/>
            <w:hideMark/>
          </w:tcPr>
          <w:p w14:paraId="7D851840"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35,400</w:t>
            </w:r>
          </w:p>
        </w:tc>
        <w:tc>
          <w:tcPr>
            <w:tcW w:w="1840" w:type="dxa"/>
            <w:tcBorders>
              <w:top w:val="nil"/>
              <w:left w:val="nil"/>
              <w:bottom w:val="single" w:sz="4" w:space="0" w:color="auto"/>
              <w:right w:val="single" w:sz="4" w:space="0" w:color="auto"/>
            </w:tcBorders>
            <w:shd w:val="clear" w:color="auto" w:fill="auto"/>
            <w:noWrap/>
            <w:vAlign w:val="bottom"/>
            <w:hideMark/>
          </w:tcPr>
          <w:p w14:paraId="76004795"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65,400</w:t>
            </w:r>
          </w:p>
        </w:tc>
      </w:tr>
      <w:tr w:rsidR="00326140" w:rsidRPr="00326140" w14:paraId="4597978A"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76BE441"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Sonoma</w:t>
            </w:r>
          </w:p>
        </w:tc>
        <w:tc>
          <w:tcPr>
            <w:tcW w:w="1720" w:type="dxa"/>
            <w:tcBorders>
              <w:top w:val="nil"/>
              <w:left w:val="nil"/>
              <w:bottom w:val="single" w:sz="4" w:space="0" w:color="auto"/>
              <w:right w:val="single" w:sz="4" w:space="0" w:color="auto"/>
            </w:tcBorders>
            <w:shd w:val="clear" w:color="auto" w:fill="auto"/>
            <w:noWrap/>
            <w:vAlign w:val="bottom"/>
            <w:hideMark/>
          </w:tcPr>
          <w:p w14:paraId="5120373A"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25,042</w:t>
            </w:r>
          </w:p>
        </w:tc>
        <w:tc>
          <w:tcPr>
            <w:tcW w:w="1780" w:type="dxa"/>
            <w:tcBorders>
              <w:top w:val="nil"/>
              <w:left w:val="nil"/>
              <w:bottom w:val="single" w:sz="4" w:space="0" w:color="auto"/>
              <w:right w:val="single" w:sz="4" w:space="0" w:color="auto"/>
            </w:tcBorders>
            <w:shd w:val="clear" w:color="auto" w:fill="auto"/>
            <w:noWrap/>
            <w:vAlign w:val="bottom"/>
            <w:hideMark/>
          </w:tcPr>
          <w:p w14:paraId="5BF38CF4"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50,980</w:t>
            </w:r>
          </w:p>
        </w:tc>
        <w:tc>
          <w:tcPr>
            <w:tcW w:w="1840" w:type="dxa"/>
            <w:tcBorders>
              <w:top w:val="nil"/>
              <w:left w:val="nil"/>
              <w:bottom w:val="single" w:sz="4" w:space="0" w:color="auto"/>
              <w:right w:val="single" w:sz="4" w:space="0" w:color="auto"/>
            </w:tcBorders>
            <w:shd w:val="clear" w:color="auto" w:fill="auto"/>
            <w:noWrap/>
            <w:vAlign w:val="bottom"/>
            <w:hideMark/>
          </w:tcPr>
          <w:p w14:paraId="29734129"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76,022</w:t>
            </w:r>
          </w:p>
        </w:tc>
      </w:tr>
      <w:tr w:rsidR="00326140" w:rsidRPr="00326140" w14:paraId="607E8F4A"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39D5436"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Sutter</w:t>
            </w:r>
          </w:p>
        </w:tc>
        <w:tc>
          <w:tcPr>
            <w:tcW w:w="1720" w:type="dxa"/>
            <w:tcBorders>
              <w:top w:val="nil"/>
              <w:left w:val="nil"/>
              <w:bottom w:val="single" w:sz="4" w:space="0" w:color="auto"/>
              <w:right w:val="single" w:sz="4" w:space="0" w:color="auto"/>
            </w:tcBorders>
            <w:shd w:val="clear" w:color="auto" w:fill="auto"/>
            <w:noWrap/>
            <w:vAlign w:val="bottom"/>
            <w:hideMark/>
          </w:tcPr>
          <w:p w14:paraId="25B4759C"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3,470</w:t>
            </w:r>
          </w:p>
        </w:tc>
        <w:tc>
          <w:tcPr>
            <w:tcW w:w="1780" w:type="dxa"/>
            <w:tcBorders>
              <w:top w:val="nil"/>
              <w:left w:val="nil"/>
              <w:bottom w:val="single" w:sz="4" w:space="0" w:color="auto"/>
              <w:right w:val="single" w:sz="4" w:space="0" w:color="auto"/>
            </w:tcBorders>
            <w:shd w:val="clear" w:color="auto" w:fill="auto"/>
            <w:noWrap/>
            <w:vAlign w:val="bottom"/>
            <w:hideMark/>
          </w:tcPr>
          <w:p w14:paraId="17109AEB"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13,917</w:t>
            </w:r>
          </w:p>
        </w:tc>
        <w:tc>
          <w:tcPr>
            <w:tcW w:w="1840" w:type="dxa"/>
            <w:tcBorders>
              <w:top w:val="nil"/>
              <w:left w:val="nil"/>
              <w:bottom w:val="single" w:sz="4" w:space="0" w:color="auto"/>
              <w:right w:val="single" w:sz="4" w:space="0" w:color="auto"/>
            </w:tcBorders>
            <w:shd w:val="clear" w:color="auto" w:fill="auto"/>
            <w:noWrap/>
            <w:vAlign w:val="bottom"/>
            <w:hideMark/>
          </w:tcPr>
          <w:p w14:paraId="7313FA84"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17,387</w:t>
            </w:r>
          </w:p>
        </w:tc>
      </w:tr>
      <w:tr w:rsidR="00326140" w:rsidRPr="00326140" w14:paraId="02D8A920"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24BF51A"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Tuolumne</w:t>
            </w:r>
          </w:p>
        </w:tc>
        <w:tc>
          <w:tcPr>
            <w:tcW w:w="1720" w:type="dxa"/>
            <w:tcBorders>
              <w:top w:val="nil"/>
              <w:left w:val="nil"/>
              <w:bottom w:val="single" w:sz="4" w:space="0" w:color="auto"/>
              <w:right w:val="single" w:sz="4" w:space="0" w:color="auto"/>
            </w:tcBorders>
            <w:shd w:val="clear" w:color="auto" w:fill="auto"/>
            <w:noWrap/>
            <w:vAlign w:val="bottom"/>
            <w:hideMark/>
          </w:tcPr>
          <w:p w14:paraId="6706E3E0"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114,000</w:t>
            </w:r>
          </w:p>
        </w:tc>
        <w:tc>
          <w:tcPr>
            <w:tcW w:w="1780" w:type="dxa"/>
            <w:tcBorders>
              <w:top w:val="nil"/>
              <w:left w:val="nil"/>
              <w:bottom w:val="single" w:sz="4" w:space="0" w:color="auto"/>
              <w:right w:val="single" w:sz="4" w:space="0" w:color="auto"/>
            </w:tcBorders>
            <w:shd w:val="clear" w:color="auto" w:fill="auto"/>
            <w:noWrap/>
            <w:vAlign w:val="bottom"/>
            <w:hideMark/>
          </w:tcPr>
          <w:p w14:paraId="0E60E4EA"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100,890</w:t>
            </w:r>
          </w:p>
        </w:tc>
        <w:tc>
          <w:tcPr>
            <w:tcW w:w="1840" w:type="dxa"/>
            <w:tcBorders>
              <w:top w:val="nil"/>
              <w:left w:val="nil"/>
              <w:bottom w:val="single" w:sz="4" w:space="0" w:color="auto"/>
              <w:right w:val="single" w:sz="4" w:space="0" w:color="auto"/>
            </w:tcBorders>
            <w:shd w:val="clear" w:color="auto" w:fill="auto"/>
            <w:noWrap/>
            <w:vAlign w:val="bottom"/>
            <w:hideMark/>
          </w:tcPr>
          <w:p w14:paraId="363AA4FF"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214,890</w:t>
            </w:r>
          </w:p>
        </w:tc>
      </w:tr>
      <w:tr w:rsidR="00326140" w:rsidRPr="00326140" w14:paraId="24D70296"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CDCE5F9"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Trinity</w:t>
            </w:r>
          </w:p>
        </w:tc>
        <w:tc>
          <w:tcPr>
            <w:tcW w:w="1720" w:type="dxa"/>
            <w:tcBorders>
              <w:top w:val="nil"/>
              <w:left w:val="nil"/>
              <w:bottom w:val="single" w:sz="4" w:space="0" w:color="auto"/>
              <w:right w:val="single" w:sz="4" w:space="0" w:color="auto"/>
            </w:tcBorders>
            <w:shd w:val="clear" w:color="auto" w:fill="auto"/>
            <w:noWrap/>
            <w:vAlign w:val="bottom"/>
            <w:hideMark/>
          </w:tcPr>
          <w:p w14:paraId="516F67E3"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0</w:t>
            </w:r>
          </w:p>
        </w:tc>
        <w:tc>
          <w:tcPr>
            <w:tcW w:w="1780" w:type="dxa"/>
            <w:tcBorders>
              <w:top w:val="nil"/>
              <w:left w:val="nil"/>
              <w:bottom w:val="single" w:sz="4" w:space="0" w:color="auto"/>
              <w:right w:val="single" w:sz="4" w:space="0" w:color="auto"/>
            </w:tcBorders>
            <w:shd w:val="clear" w:color="auto" w:fill="auto"/>
            <w:noWrap/>
            <w:vAlign w:val="bottom"/>
            <w:hideMark/>
          </w:tcPr>
          <w:p w14:paraId="39F1458F"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29,499</w:t>
            </w:r>
          </w:p>
        </w:tc>
        <w:tc>
          <w:tcPr>
            <w:tcW w:w="1840" w:type="dxa"/>
            <w:tcBorders>
              <w:top w:val="nil"/>
              <w:left w:val="nil"/>
              <w:bottom w:val="single" w:sz="4" w:space="0" w:color="auto"/>
              <w:right w:val="single" w:sz="4" w:space="0" w:color="auto"/>
            </w:tcBorders>
            <w:shd w:val="clear" w:color="auto" w:fill="auto"/>
            <w:noWrap/>
            <w:vAlign w:val="bottom"/>
            <w:hideMark/>
          </w:tcPr>
          <w:p w14:paraId="78064D79"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29,499</w:t>
            </w:r>
          </w:p>
        </w:tc>
      </w:tr>
      <w:tr w:rsidR="00326140" w:rsidRPr="00326140" w14:paraId="12EB5405" w14:textId="77777777" w:rsidTr="008F0DC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78AF00F" w14:textId="77777777" w:rsidR="00326140" w:rsidRPr="00326140" w:rsidRDefault="00326140" w:rsidP="008F0DC3">
            <w:pPr>
              <w:rPr>
                <w:rFonts w:ascii="Arial" w:hAnsi="Arial" w:cs="Arial"/>
                <w:color w:val="000000"/>
                <w:szCs w:val="24"/>
              </w:rPr>
            </w:pPr>
            <w:r w:rsidRPr="00326140">
              <w:rPr>
                <w:rFonts w:ascii="Arial" w:hAnsi="Arial" w:cs="Arial"/>
                <w:color w:val="000000"/>
                <w:szCs w:val="24"/>
              </w:rPr>
              <w:t>Ventura</w:t>
            </w:r>
          </w:p>
        </w:tc>
        <w:tc>
          <w:tcPr>
            <w:tcW w:w="1720" w:type="dxa"/>
            <w:tcBorders>
              <w:top w:val="nil"/>
              <w:left w:val="nil"/>
              <w:bottom w:val="single" w:sz="4" w:space="0" w:color="auto"/>
              <w:right w:val="single" w:sz="4" w:space="0" w:color="auto"/>
            </w:tcBorders>
            <w:shd w:val="clear" w:color="auto" w:fill="auto"/>
            <w:noWrap/>
            <w:vAlign w:val="bottom"/>
            <w:hideMark/>
          </w:tcPr>
          <w:p w14:paraId="582858CC"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31,080</w:t>
            </w:r>
          </w:p>
        </w:tc>
        <w:tc>
          <w:tcPr>
            <w:tcW w:w="1780" w:type="dxa"/>
            <w:tcBorders>
              <w:top w:val="nil"/>
              <w:left w:val="nil"/>
              <w:bottom w:val="single" w:sz="4" w:space="0" w:color="auto"/>
              <w:right w:val="single" w:sz="4" w:space="0" w:color="auto"/>
            </w:tcBorders>
            <w:shd w:val="clear" w:color="auto" w:fill="auto"/>
            <w:noWrap/>
            <w:vAlign w:val="bottom"/>
            <w:hideMark/>
          </w:tcPr>
          <w:p w14:paraId="1EE372C9"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2,456</w:t>
            </w:r>
          </w:p>
        </w:tc>
        <w:tc>
          <w:tcPr>
            <w:tcW w:w="1840" w:type="dxa"/>
            <w:tcBorders>
              <w:top w:val="nil"/>
              <w:left w:val="nil"/>
              <w:bottom w:val="single" w:sz="4" w:space="0" w:color="auto"/>
              <w:right w:val="single" w:sz="4" w:space="0" w:color="auto"/>
            </w:tcBorders>
            <w:shd w:val="clear" w:color="auto" w:fill="auto"/>
            <w:noWrap/>
            <w:vAlign w:val="bottom"/>
            <w:hideMark/>
          </w:tcPr>
          <w:p w14:paraId="16B75958" w14:textId="77777777" w:rsidR="00326140" w:rsidRPr="00326140" w:rsidRDefault="00326140" w:rsidP="008F0DC3">
            <w:pPr>
              <w:jc w:val="right"/>
              <w:rPr>
                <w:rFonts w:ascii="Arial" w:hAnsi="Arial" w:cs="Arial"/>
                <w:color w:val="000000"/>
                <w:szCs w:val="24"/>
              </w:rPr>
            </w:pPr>
            <w:r w:rsidRPr="00326140">
              <w:rPr>
                <w:rFonts w:ascii="Arial" w:hAnsi="Arial" w:cs="Arial"/>
                <w:color w:val="000000"/>
                <w:szCs w:val="24"/>
              </w:rPr>
              <w:t>33,536</w:t>
            </w:r>
          </w:p>
        </w:tc>
      </w:tr>
      <w:tr w:rsidR="00326140" w:rsidRPr="00326140" w14:paraId="010F1C1E" w14:textId="77777777" w:rsidTr="008F0DC3">
        <w:trPr>
          <w:trHeight w:val="300"/>
        </w:trPr>
        <w:tc>
          <w:tcPr>
            <w:tcW w:w="2060" w:type="dxa"/>
            <w:tcBorders>
              <w:top w:val="nil"/>
              <w:left w:val="single" w:sz="4" w:space="0" w:color="auto"/>
              <w:bottom w:val="single" w:sz="4" w:space="0" w:color="auto"/>
              <w:right w:val="single" w:sz="4" w:space="0" w:color="auto"/>
            </w:tcBorders>
            <w:shd w:val="clear" w:color="000000" w:fill="E7E6E6"/>
            <w:noWrap/>
            <w:vAlign w:val="bottom"/>
            <w:hideMark/>
          </w:tcPr>
          <w:p w14:paraId="69030F7E" w14:textId="77777777" w:rsidR="00326140" w:rsidRPr="00326140" w:rsidRDefault="00326140" w:rsidP="008F0DC3">
            <w:pPr>
              <w:rPr>
                <w:rFonts w:ascii="Arial" w:hAnsi="Arial" w:cs="Arial"/>
                <w:b/>
                <w:bCs/>
                <w:color w:val="000000"/>
                <w:szCs w:val="24"/>
              </w:rPr>
            </w:pPr>
            <w:r w:rsidRPr="00326140">
              <w:rPr>
                <w:rFonts w:ascii="Arial" w:hAnsi="Arial" w:cs="Arial"/>
                <w:b/>
                <w:bCs/>
                <w:color w:val="000000"/>
                <w:szCs w:val="24"/>
              </w:rPr>
              <w:t>TOTALS</w:t>
            </w:r>
          </w:p>
        </w:tc>
        <w:tc>
          <w:tcPr>
            <w:tcW w:w="1720" w:type="dxa"/>
            <w:tcBorders>
              <w:top w:val="nil"/>
              <w:left w:val="nil"/>
              <w:bottom w:val="single" w:sz="4" w:space="0" w:color="auto"/>
              <w:right w:val="single" w:sz="4" w:space="0" w:color="auto"/>
            </w:tcBorders>
            <w:shd w:val="clear" w:color="000000" w:fill="E7E6E6"/>
            <w:noWrap/>
            <w:vAlign w:val="bottom"/>
            <w:hideMark/>
          </w:tcPr>
          <w:p w14:paraId="35764026" w14:textId="77777777" w:rsidR="00326140" w:rsidRPr="00326140" w:rsidRDefault="00326140" w:rsidP="008F0DC3">
            <w:pPr>
              <w:jc w:val="right"/>
              <w:rPr>
                <w:rFonts w:ascii="Arial" w:hAnsi="Arial" w:cs="Arial"/>
                <w:b/>
                <w:bCs/>
                <w:color w:val="000000"/>
                <w:szCs w:val="24"/>
              </w:rPr>
            </w:pPr>
            <w:r w:rsidRPr="00326140">
              <w:rPr>
                <w:rFonts w:ascii="Arial" w:hAnsi="Arial" w:cs="Arial"/>
                <w:b/>
                <w:bCs/>
                <w:color w:val="000000"/>
                <w:szCs w:val="24"/>
              </w:rPr>
              <w:t>1,275,315</w:t>
            </w:r>
          </w:p>
        </w:tc>
        <w:tc>
          <w:tcPr>
            <w:tcW w:w="1780" w:type="dxa"/>
            <w:tcBorders>
              <w:top w:val="nil"/>
              <w:left w:val="nil"/>
              <w:bottom w:val="single" w:sz="4" w:space="0" w:color="auto"/>
              <w:right w:val="single" w:sz="4" w:space="0" w:color="auto"/>
            </w:tcBorders>
            <w:shd w:val="clear" w:color="000000" w:fill="E7E6E6"/>
            <w:noWrap/>
            <w:vAlign w:val="bottom"/>
            <w:hideMark/>
          </w:tcPr>
          <w:p w14:paraId="1487B073" w14:textId="77777777" w:rsidR="00326140" w:rsidRPr="00326140" w:rsidRDefault="00326140" w:rsidP="008F0DC3">
            <w:pPr>
              <w:jc w:val="right"/>
              <w:rPr>
                <w:rFonts w:ascii="Arial" w:hAnsi="Arial" w:cs="Arial"/>
                <w:b/>
                <w:bCs/>
                <w:color w:val="000000"/>
                <w:szCs w:val="24"/>
              </w:rPr>
            </w:pPr>
            <w:r w:rsidRPr="00326140">
              <w:rPr>
                <w:rFonts w:ascii="Arial" w:hAnsi="Arial" w:cs="Arial"/>
                <w:b/>
                <w:bCs/>
                <w:color w:val="000000"/>
                <w:szCs w:val="24"/>
              </w:rPr>
              <w:t>1,322,479</w:t>
            </w:r>
          </w:p>
        </w:tc>
        <w:tc>
          <w:tcPr>
            <w:tcW w:w="1840" w:type="dxa"/>
            <w:tcBorders>
              <w:top w:val="nil"/>
              <w:left w:val="nil"/>
              <w:bottom w:val="single" w:sz="4" w:space="0" w:color="auto"/>
              <w:right w:val="single" w:sz="4" w:space="0" w:color="auto"/>
            </w:tcBorders>
            <w:shd w:val="clear" w:color="000000" w:fill="E7E6E6"/>
            <w:noWrap/>
            <w:vAlign w:val="bottom"/>
            <w:hideMark/>
          </w:tcPr>
          <w:p w14:paraId="3488D98F" w14:textId="77777777" w:rsidR="00326140" w:rsidRPr="00326140" w:rsidRDefault="00326140" w:rsidP="008F0DC3">
            <w:pPr>
              <w:jc w:val="right"/>
              <w:rPr>
                <w:rFonts w:ascii="Arial" w:hAnsi="Arial" w:cs="Arial"/>
                <w:b/>
                <w:bCs/>
                <w:color w:val="000000"/>
                <w:szCs w:val="24"/>
              </w:rPr>
            </w:pPr>
            <w:r w:rsidRPr="00326140">
              <w:rPr>
                <w:rFonts w:ascii="Arial" w:hAnsi="Arial" w:cs="Arial"/>
                <w:b/>
                <w:bCs/>
                <w:color w:val="000000"/>
                <w:szCs w:val="24"/>
              </w:rPr>
              <w:t>2,597,794</w:t>
            </w:r>
          </w:p>
        </w:tc>
      </w:tr>
    </w:tbl>
    <w:p w14:paraId="3BB66438" w14:textId="77777777" w:rsidR="00326140" w:rsidRPr="00326140" w:rsidRDefault="00326140" w:rsidP="00326140">
      <w:pPr>
        <w:rPr>
          <w:rFonts w:ascii="Arial" w:hAnsi="Arial" w:cs="Arial"/>
          <w:szCs w:val="24"/>
        </w:rPr>
      </w:pPr>
    </w:p>
    <w:p w14:paraId="5F2F9076" w14:textId="77777777" w:rsidR="00326140" w:rsidRPr="00326140" w:rsidRDefault="00326140" w:rsidP="00326140">
      <w:pPr>
        <w:rPr>
          <w:rFonts w:ascii="Arial" w:hAnsi="Arial" w:cs="Arial"/>
          <w:szCs w:val="24"/>
          <w:u w:val="single"/>
        </w:rPr>
      </w:pPr>
      <w:r w:rsidRPr="00326140">
        <w:rPr>
          <w:rFonts w:ascii="Arial" w:hAnsi="Arial" w:cs="Arial"/>
          <w:szCs w:val="24"/>
          <w:u w:val="single"/>
        </w:rPr>
        <w:t>Recommendations:</w:t>
      </w:r>
      <w:r w:rsidRPr="00326140">
        <w:rPr>
          <w:rFonts w:ascii="Arial" w:hAnsi="Arial" w:cs="Arial"/>
          <w:szCs w:val="24"/>
          <w:u w:val="single"/>
        </w:rPr>
        <w:br/>
      </w:r>
      <w:r w:rsidRPr="00326140">
        <w:rPr>
          <w:rFonts w:ascii="Arial" w:hAnsi="Arial" w:cs="Arial"/>
          <w:szCs w:val="24"/>
        </w:rPr>
        <w:t>While broad based training programs were not considered high level upskilling, there are several other funding sources that are available to conduct these trainings, including current year Future of Public Health funds, federal workforce development funds, and CDC Infrastructure funding (CASPHI – California Strengthening Public Health Initiative). LHJs are encouraged to use these available funds for these important trainings.</w:t>
      </w:r>
    </w:p>
    <w:p w14:paraId="41ACDA13" w14:textId="5581A8A8" w:rsidR="00CD7200" w:rsidRDefault="00326140" w:rsidP="00326140">
      <w:pPr>
        <w:rPr>
          <w:rFonts w:ascii="Arial" w:hAnsi="Arial" w:cs="Arial"/>
          <w:szCs w:val="24"/>
        </w:rPr>
      </w:pPr>
      <w:r w:rsidRPr="00326140">
        <w:rPr>
          <w:rFonts w:ascii="Arial" w:hAnsi="Arial" w:cs="Arial"/>
          <w:szCs w:val="24"/>
          <w:u w:val="single"/>
        </w:rPr>
        <w:br/>
        <w:t>Next Steps:</w:t>
      </w:r>
      <w:r w:rsidRPr="00326140">
        <w:rPr>
          <w:rFonts w:ascii="Arial" w:hAnsi="Arial" w:cs="Arial"/>
          <w:szCs w:val="24"/>
        </w:rPr>
        <w:br/>
        <w:t xml:space="preserve">During the week of April 24th, CDPH will contact each of the LHJs that have been awarded funding to let them know the specific projects funded and to gather any needed information to complete the grant award package. CDPH will also confirm that the LHJ is able to use the awarded funds during the funding period through June 30, 2024.  </w:t>
      </w:r>
    </w:p>
    <w:p w14:paraId="6A300C18" w14:textId="77777777" w:rsidR="00CD7200" w:rsidRPr="00326140" w:rsidRDefault="00CD7200" w:rsidP="00326140">
      <w:pPr>
        <w:rPr>
          <w:rFonts w:ascii="Arial" w:hAnsi="Arial" w:cs="Arial"/>
          <w:szCs w:val="24"/>
        </w:rPr>
      </w:pPr>
    </w:p>
    <w:p w14:paraId="1D78F4A9" w14:textId="3A0A5B85" w:rsidR="00CD7200" w:rsidRPr="00326140" w:rsidRDefault="00326140" w:rsidP="00326140">
      <w:pPr>
        <w:spacing w:after="100" w:afterAutospacing="1"/>
        <w:rPr>
          <w:rFonts w:ascii="Arial" w:hAnsi="Arial" w:cs="Arial"/>
          <w:szCs w:val="24"/>
        </w:rPr>
      </w:pPr>
      <w:r w:rsidRPr="00326140">
        <w:rPr>
          <w:rFonts w:ascii="Arial" w:hAnsi="Arial" w:cs="Arial"/>
          <w:szCs w:val="24"/>
        </w:rPr>
        <w:t>Since all funds are Year 1 funding, CDPH plans to award all funding once grant awards are signed by the LHJ.  CDPH is prepared to expedite the issuance of these awards. Awarded LHJs are encouraged to notify CDPH if their award will require Board of Supervisors or City Council signature or whether they have delegated authority to sign these awards based on the level of funding.</w:t>
      </w:r>
      <w:r w:rsidR="008B0E12">
        <w:rPr>
          <w:rFonts w:ascii="Arial" w:hAnsi="Arial" w:cs="Arial"/>
          <w:szCs w:val="24"/>
        </w:rPr>
        <w:br/>
      </w:r>
    </w:p>
    <w:p w14:paraId="2946E321" w14:textId="77777777" w:rsidR="00326140" w:rsidRPr="00326140" w:rsidRDefault="00326140" w:rsidP="00326140">
      <w:pPr>
        <w:rPr>
          <w:rFonts w:ascii="Arial" w:hAnsi="Arial" w:cs="Arial"/>
          <w:szCs w:val="24"/>
        </w:rPr>
      </w:pPr>
      <w:r w:rsidRPr="00326140">
        <w:rPr>
          <w:rFonts w:ascii="Arial" w:hAnsi="Arial" w:cs="Arial"/>
          <w:szCs w:val="24"/>
        </w:rPr>
        <w:t>As CDPH finalizes the scope of work (SOW) for the grant awards, we will utilize the local submissions to prepare a summary of the projects and share with all LHJs.</w:t>
      </w:r>
    </w:p>
    <w:p w14:paraId="1F84259C" w14:textId="77777777" w:rsidR="00326140" w:rsidRPr="00326140" w:rsidRDefault="00326140" w:rsidP="00326140">
      <w:pPr>
        <w:rPr>
          <w:rFonts w:ascii="Arial" w:hAnsi="Arial" w:cs="Arial"/>
          <w:szCs w:val="24"/>
          <w:u w:val="single"/>
        </w:rPr>
      </w:pPr>
      <w:r w:rsidRPr="00326140">
        <w:rPr>
          <w:rFonts w:ascii="Arial" w:hAnsi="Arial" w:cs="Arial"/>
          <w:szCs w:val="24"/>
          <w:u w:val="single"/>
        </w:rPr>
        <w:br/>
        <w:t>Reporting Requirements:</w:t>
      </w:r>
    </w:p>
    <w:p w14:paraId="2BA38320" w14:textId="77777777" w:rsidR="00326140" w:rsidRPr="00326140" w:rsidRDefault="00326140" w:rsidP="00326140">
      <w:pPr>
        <w:rPr>
          <w:rFonts w:ascii="Arial" w:hAnsi="Arial" w:cs="Arial"/>
          <w:szCs w:val="24"/>
        </w:rPr>
      </w:pPr>
      <w:r w:rsidRPr="00326140">
        <w:rPr>
          <w:rFonts w:ascii="Arial" w:hAnsi="Arial" w:cs="Arial"/>
          <w:szCs w:val="24"/>
        </w:rPr>
        <w:t>CDPH requires awarded LHJs to report annually on the use of the funds and activities conducted. At a minimum, LHJs will be required to report:</w:t>
      </w:r>
    </w:p>
    <w:p w14:paraId="3AEA37F8" w14:textId="77777777" w:rsidR="00326140" w:rsidRPr="00326140" w:rsidRDefault="00326140" w:rsidP="00326140">
      <w:pPr>
        <w:numPr>
          <w:ilvl w:val="0"/>
          <w:numId w:val="1"/>
        </w:numPr>
        <w:rPr>
          <w:rFonts w:ascii="Arial" w:hAnsi="Arial" w:cs="Arial"/>
          <w:szCs w:val="24"/>
        </w:rPr>
      </w:pPr>
      <w:r w:rsidRPr="00326140">
        <w:rPr>
          <w:rFonts w:ascii="Arial" w:hAnsi="Arial" w:cs="Arial"/>
          <w:szCs w:val="24"/>
        </w:rPr>
        <w:t>The number of individuals participating in eligible educational pursuits.</w:t>
      </w:r>
    </w:p>
    <w:p w14:paraId="4671FAA9" w14:textId="77777777" w:rsidR="00326140" w:rsidRPr="00326140" w:rsidRDefault="00326140" w:rsidP="00326140">
      <w:pPr>
        <w:numPr>
          <w:ilvl w:val="0"/>
          <w:numId w:val="1"/>
        </w:numPr>
        <w:rPr>
          <w:rFonts w:ascii="Arial" w:hAnsi="Arial" w:cs="Arial"/>
          <w:szCs w:val="24"/>
        </w:rPr>
      </w:pPr>
      <w:r w:rsidRPr="00326140">
        <w:rPr>
          <w:rFonts w:ascii="Arial" w:hAnsi="Arial" w:cs="Arial"/>
          <w:szCs w:val="24"/>
        </w:rPr>
        <w:t>Summary of types of credentials and skills attained through the program.</w:t>
      </w:r>
    </w:p>
    <w:p w14:paraId="1DAA0FDF" w14:textId="77777777" w:rsidR="00326140" w:rsidRPr="00326140" w:rsidRDefault="00326140" w:rsidP="00326140">
      <w:pPr>
        <w:pStyle w:val="ListParagraph"/>
        <w:numPr>
          <w:ilvl w:val="0"/>
          <w:numId w:val="1"/>
        </w:numPr>
        <w:spacing w:after="0" w:line="240" w:lineRule="auto"/>
        <w:rPr>
          <w:rFonts w:cs="Arial"/>
          <w:szCs w:val="24"/>
          <w:u w:val="single"/>
        </w:rPr>
      </w:pPr>
      <w:r w:rsidRPr="00326140">
        <w:rPr>
          <w:rFonts w:cs="Arial"/>
          <w:szCs w:val="24"/>
        </w:rPr>
        <w:t>Number of employees hired to provide coverage for employees attaining educational opportunities</w:t>
      </w:r>
      <w:r w:rsidRPr="00326140">
        <w:rPr>
          <w:rFonts w:cs="Arial"/>
          <w:szCs w:val="24"/>
          <w:u w:val="single"/>
        </w:rPr>
        <w:br/>
      </w:r>
    </w:p>
    <w:p w14:paraId="202F95C3" w14:textId="77777777" w:rsidR="00326140" w:rsidRPr="00326140" w:rsidRDefault="00326140" w:rsidP="00326140">
      <w:pPr>
        <w:rPr>
          <w:rFonts w:ascii="Arial" w:hAnsi="Arial" w:cs="Arial"/>
          <w:szCs w:val="24"/>
          <w:u w:val="single"/>
        </w:rPr>
      </w:pPr>
      <w:r w:rsidRPr="00326140">
        <w:rPr>
          <w:rFonts w:ascii="Arial" w:hAnsi="Arial" w:cs="Arial"/>
          <w:szCs w:val="24"/>
          <w:u w:val="single"/>
        </w:rPr>
        <w:t>Questions:</w:t>
      </w:r>
    </w:p>
    <w:p w14:paraId="5C9112B6" w14:textId="77777777" w:rsidR="00326140" w:rsidRPr="00326140" w:rsidRDefault="00326140" w:rsidP="00326140">
      <w:pPr>
        <w:rPr>
          <w:rFonts w:ascii="Arial" w:hAnsi="Arial" w:cs="Arial"/>
          <w:szCs w:val="24"/>
        </w:rPr>
      </w:pPr>
      <w:r w:rsidRPr="00326140">
        <w:rPr>
          <w:rFonts w:ascii="Arial" w:hAnsi="Arial" w:cs="Arial"/>
          <w:szCs w:val="24"/>
        </w:rPr>
        <w:t xml:space="preserve">If your LHJ has questions about the PH-Career Ladder funding opportunity, please contact </w:t>
      </w:r>
      <w:hyperlink r:id="rId15" w:history="1">
        <w:r w:rsidRPr="00326140">
          <w:rPr>
            <w:rStyle w:val="Hyperlink"/>
            <w:rFonts w:ascii="Arial" w:hAnsi="Arial" w:cs="Arial"/>
            <w:szCs w:val="24"/>
          </w:rPr>
          <w:t>Kristen.Guerrero@cdph.ca.gov</w:t>
        </w:r>
      </w:hyperlink>
      <w:r w:rsidRPr="00326140">
        <w:rPr>
          <w:rFonts w:ascii="Arial" w:hAnsi="Arial" w:cs="Arial"/>
          <w:szCs w:val="24"/>
        </w:rPr>
        <w:t xml:space="preserve">. </w:t>
      </w:r>
    </w:p>
    <w:p w14:paraId="037B6F2B" w14:textId="4487A4C9" w:rsidR="00867BDA" w:rsidRPr="00326140" w:rsidRDefault="00867BDA" w:rsidP="00FB0ED7">
      <w:pPr>
        <w:rPr>
          <w:rFonts w:ascii="Arial" w:hAnsi="Arial" w:cs="Arial"/>
          <w:szCs w:val="24"/>
        </w:rPr>
      </w:pPr>
    </w:p>
    <w:sectPr w:rsidR="00867BDA" w:rsidRPr="00326140" w:rsidSect="008B0E12">
      <w:footerReference w:type="first" r:id="rId16"/>
      <w:type w:val="continuous"/>
      <w:pgSz w:w="12240" w:h="15840" w:code="1"/>
      <w:pgMar w:top="1440" w:right="1440" w:bottom="1440" w:left="1440" w:header="0" w:footer="1195"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A4CDF" w14:textId="77777777" w:rsidR="00DF75A3" w:rsidRDefault="00DF75A3">
      <w:r>
        <w:separator/>
      </w:r>
    </w:p>
  </w:endnote>
  <w:endnote w:type="continuationSeparator" w:id="0">
    <w:p w14:paraId="0C4F5422" w14:textId="77777777" w:rsidR="00DF75A3" w:rsidRDefault="00DF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C214" w14:textId="01E3E195" w:rsidR="002759DB" w:rsidRDefault="002759DB" w:rsidP="005009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0E12">
      <w:rPr>
        <w:rStyle w:val="PageNumber"/>
        <w:noProof/>
      </w:rPr>
      <w:t>1</w:t>
    </w:r>
    <w:r>
      <w:rPr>
        <w:rStyle w:val="PageNumber"/>
      </w:rPr>
      <w:fldChar w:fldCharType="end"/>
    </w:r>
  </w:p>
  <w:p w14:paraId="5DBB2300" w14:textId="77777777" w:rsidR="002759DB" w:rsidRDefault="002759DB" w:rsidP="002759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606876"/>
      <w:docPartObj>
        <w:docPartGallery w:val="Page Numbers (Bottom of Page)"/>
        <w:docPartUnique/>
      </w:docPartObj>
    </w:sdtPr>
    <w:sdtEndPr>
      <w:rPr>
        <w:noProof/>
      </w:rPr>
    </w:sdtEndPr>
    <w:sdtContent>
      <w:p w14:paraId="6A619A3B" w14:textId="4CABE6AD" w:rsidR="008B0E12" w:rsidRDefault="008B0E12">
        <w:pPr>
          <w:pStyle w:val="Footer"/>
          <w:jc w:val="right"/>
        </w:pPr>
        <w:r>
          <w:fldChar w:fldCharType="begin"/>
        </w:r>
        <w:r>
          <w:instrText xml:space="preserve"> PAGE   \* MERGEFORMAT </w:instrText>
        </w:r>
        <w:r>
          <w:fldChar w:fldCharType="separate"/>
        </w:r>
        <w:r w:rsidR="003B1B51">
          <w:rPr>
            <w:noProof/>
          </w:rPr>
          <w:t>2</w:t>
        </w:r>
        <w:r>
          <w:rPr>
            <w:noProof/>
          </w:rPr>
          <w:fldChar w:fldCharType="end"/>
        </w:r>
      </w:p>
    </w:sdtContent>
  </w:sdt>
  <w:p w14:paraId="01A2D108" w14:textId="77777777" w:rsidR="00F54DD2" w:rsidRDefault="00F54DD2" w:rsidP="002759DB">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C4E93" w14:textId="77777777" w:rsidR="00140572" w:rsidRPr="00140572" w:rsidRDefault="00140572" w:rsidP="00140572">
    <w:pPr>
      <w:pStyle w:val="Footer"/>
      <w:jc w:val="center"/>
      <w:rPr>
        <w:rFonts w:ascii="Arial" w:hAnsi="Arial" w:cs="Arial"/>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0D6D3" w14:textId="77777777" w:rsidR="00300451" w:rsidRPr="00300451" w:rsidRDefault="00300451" w:rsidP="00300451">
    <w:pPr>
      <w:pStyle w:val="Footer"/>
      <w:jc w:val="center"/>
      <w:rPr>
        <w:rFonts w:ascii="Arial" w:hAnsi="Arial" w:cs="Arial"/>
      </w:rPr>
    </w:pPr>
    <w:r w:rsidRPr="00300451">
      <w:rPr>
        <w:rStyle w:val="PageNumber"/>
        <w:rFonts w:ascii="Arial" w:hAnsi="Arial" w:cs="Arial"/>
      </w:rPr>
      <w:fldChar w:fldCharType="begin"/>
    </w:r>
    <w:r w:rsidRPr="00300451">
      <w:rPr>
        <w:rStyle w:val="PageNumber"/>
        <w:rFonts w:ascii="Arial" w:hAnsi="Arial" w:cs="Arial"/>
      </w:rPr>
      <w:instrText xml:space="preserve"> PAGE </w:instrText>
    </w:r>
    <w:r w:rsidRPr="00300451">
      <w:rPr>
        <w:rStyle w:val="PageNumber"/>
        <w:rFonts w:ascii="Arial" w:hAnsi="Arial" w:cs="Arial"/>
      </w:rPr>
      <w:fldChar w:fldCharType="separate"/>
    </w:r>
    <w:r>
      <w:rPr>
        <w:rStyle w:val="PageNumber"/>
        <w:rFonts w:ascii="Arial" w:hAnsi="Arial" w:cs="Arial"/>
        <w:noProof/>
      </w:rPr>
      <w:t>2</w:t>
    </w:r>
    <w:r w:rsidRPr="00300451">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4AED3" w14:textId="77777777" w:rsidR="00DF75A3" w:rsidRDefault="00DF75A3">
      <w:r>
        <w:separator/>
      </w:r>
    </w:p>
  </w:footnote>
  <w:footnote w:type="continuationSeparator" w:id="0">
    <w:p w14:paraId="7E6899AA" w14:textId="77777777" w:rsidR="00DF75A3" w:rsidRDefault="00DF7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2E6"/>
    <w:multiLevelType w:val="hybridMultilevel"/>
    <w:tmpl w:val="775C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43B7B"/>
    <w:multiLevelType w:val="hybridMultilevel"/>
    <w:tmpl w:val="2174C5D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15:restartNumberingAfterBreak="0">
    <w:nsid w:val="0EDE18D4"/>
    <w:multiLevelType w:val="hybridMultilevel"/>
    <w:tmpl w:val="5EDA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865F8"/>
    <w:multiLevelType w:val="hybridMultilevel"/>
    <w:tmpl w:val="F7D4483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4" w15:restartNumberingAfterBreak="0">
    <w:nsid w:val="4DD40C57"/>
    <w:multiLevelType w:val="hybridMultilevel"/>
    <w:tmpl w:val="0922C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485B0D"/>
    <w:multiLevelType w:val="hybridMultilevel"/>
    <w:tmpl w:val="7C58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style="mso-position-vertical-relative:line" fillcolor="#03d4a8" stroke="f">
      <v:fill color="#03d4a8" color2="#005cbf" rotate="t" colors="0 #03d4a8;.25 #21d6e0;.75 #0087e6;1 #005cbf" method="none" focus="100%" type="gradient"/>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17"/>
    <w:rsid w:val="000013D0"/>
    <w:rsid w:val="0000691C"/>
    <w:rsid w:val="00026274"/>
    <w:rsid w:val="00036A00"/>
    <w:rsid w:val="0004186D"/>
    <w:rsid w:val="00055CD0"/>
    <w:rsid w:val="00062260"/>
    <w:rsid w:val="00077840"/>
    <w:rsid w:val="000933B3"/>
    <w:rsid w:val="000A6BD4"/>
    <w:rsid w:val="000E475E"/>
    <w:rsid w:val="000F078E"/>
    <w:rsid w:val="00101E4F"/>
    <w:rsid w:val="00140572"/>
    <w:rsid w:val="00165B87"/>
    <w:rsid w:val="00186DEE"/>
    <w:rsid w:val="002139D7"/>
    <w:rsid w:val="00236764"/>
    <w:rsid w:val="00254979"/>
    <w:rsid w:val="00265EF6"/>
    <w:rsid w:val="002759DB"/>
    <w:rsid w:val="00284774"/>
    <w:rsid w:val="002A7E93"/>
    <w:rsid w:val="002C615F"/>
    <w:rsid w:val="002E3A91"/>
    <w:rsid w:val="002F064B"/>
    <w:rsid w:val="00300451"/>
    <w:rsid w:val="0030540D"/>
    <w:rsid w:val="00312E2C"/>
    <w:rsid w:val="00326140"/>
    <w:rsid w:val="00333BA3"/>
    <w:rsid w:val="00341E12"/>
    <w:rsid w:val="003445A0"/>
    <w:rsid w:val="00345899"/>
    <w:rsid w:val="00373E48"/>
    <w:rsid w:val="003777D1"/>
    <w:rsid w:val="00386340"/>
    <w:rsid w:val="003B1B51"/>
    <w:rsid w:val="003B5626"/>
    <w:rsid w:val="00427245"/>
    <w:rsid w:val="00443F0D"/>
    <w:rsid w:val="00453F1C"/>
    <w:rsid w:val="004614AA"/>
    <w:rsid w:val="004C14FC"/>
    <w:rsid w:val="004C63A8"/>
    <w:rsid w:val="005009DF"/>
    <w:rsid w:val="005627AA"/>
    <w:rsid w:val="005B0567"/>
    <w:rsid w:val="005D1C1C"/>
    <w:rsid w:val="0060029A"/>
    <w:rsid w:val="006146CA"/>
    <w:rsid w:val="00617C8B"/>
    <w:rsid w:val="006501EA"/>
    <w:rsid w:val="00671A4F"/>
    <w:rsid w:val="006B3722"/>
    <w:rsid w:val="006D2108"/>
    <w:rsid w:val="006D4FCC"/>
    <w:rsid w:val="006E5200"/>
    <w:rsid w:val="006F1351"/>
    <w:rsid w:val="00713801"/>
    <w:rsid w:val="00724A07"/>
    <w:rsid w:val="00730FE2"/>
    <w:rsid w:val="00733D1D"/>
    <w:rsid w:val="007814CE"/>
    <w:rsid w:val="007954B0"/>
    <w:rsid w:val="00796A27"/>
    <w:rsid w:val="00797554"/>
    <w:rsid w:val="0080216A"/>
    <w:rsid w:val="008115E5"/>
    <w:rsid w:val="00824662"/>
    <w:rsid w:val="00824BB6"/>
    <w:rsid w:val="00842C96"/>
    <w:rsid w:val="00852811"/>
    <w:rsid w:val="00857DBA"/>
    <w:rsid w:val="00867BDA"/>
    <w:rsid w:val="008928D9"/>
    <w:rsid w:val="008B0E12"/>
    <w:rsid w:val="008D2AD0"/>
    <w:rsid w:val="009347F0"/>
    <w:rsid w:val="00952CB5"/>
    <w:rsid w:val="00953D30"/>
    <w:rsid w:val="00961517"/>
    <w:rsid w:val="009741E2"/>
    <w:rsid w:val="00975814"/>
    <w:rsid w:val="009F2DD3"/>
    <w:rsid w:val="00A34D4F"/>
    <w:rsid w:val="00A34F04"/>
    <w:rsid w:val="00A50D67"/>
    <w:rsid w:val="00A77B62"/>
    <w:rsid w:val="00AC0030"/>
    <w:rsid w:val="00B0759E"/>
    <w:rsid w:val="00B34B6D"/>
    <w:rsid w:val="00B6120F"/>
    <w:rsid w:val="00B72035"/>
    <w:rsid w:val="00B77639"/>
    <w:rsid w:val="00B93C96"/>
    <w:rsid w:val="00BB20FF"/>
    <w:rsid w:val="00BC093D"/>
    <w:rsid w:val="00BD12D5"/>
    <w:rsid w:val="00BD287E"/>
    <w:rsid w:val="00BF0D7F"/>
    <w:rsid w:val="00C00496"/>
    <w:rsid w:val="00C03293"/>
    <w:rsid w:val="00C91975"/>
    <w:rsid w:val="00CA6FB0"/>
    <w:rsid w:val="00CD1228"/>
    <w:rsid w:val="00CD7200"/>
    <w:rsid w:val="00CF1FDA"/>
    <w:rsid w:val="00D0048D"/>
    <w:rsid w:val="00D4217A"/>
    <w:rsid w:val="00D42C40"/>
    <w:rsid w:val="00D77392"/>
    <w:rsid w:val="00DB5163"/>
    <w:rsid w:val="00DC6E85"/>
    <w:rsid w:val="00DE4815"/>
    <w:rsid w:val="00DF75A3"/>
    <w:rsid w:val="00E60ED3"/>
    <w:rsid w:val="00E71B02"/>
    <w:rsid w:val="00E72D5D"/>
    <w:rsid w:val="00E808F5"/>
    <w:rsid w:val="00F033BC"/>
    <w:rsid w:val="00F54DD2"/>
    <w:rsid w:val="00F7526C"/>
    <w:rsid w:val="00FA3A3E"/>
    <w:rsid w:val="00FA5A7D"/>
    <w:rsid w:val="00FB0ED7"/>
    <w:rsid w:val="00FB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color="#03d4a8" stroke="f">
      <v:fill color="#03d4a8" color2="#005cbf" rotate="t" colors="0 #03d4a8;.25 #21d6e0;.75 #0087e6;1 #005cbf" method="none" focus="100%" type="gradient"/>
      <v:stroke on="f"/>
    </o:shapedefaults>
    <o:shapelayout v:ext="edit">
      <o:idmap v:ext="edit" data="2"/>
    </o:shapelayout>
  </w:shapeDefaults>
  <w:decimalSymbol w:val="."/>
  <w:listSeparator w:val=","/>
  <w14:docId w14:val="412F0B6F"/>
  <w15:chartTrackingRefBased/>
  <w15:docId w15:val="{44B5E7B3-5640-40E4-8486-73F96A82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56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140"/>
    <w:pPr>
      <w:spacing w:after="120" w:line="276" w:lineRule="auto"/>
      <w:ind w:left="720"/>
      <w:contextualSpacing/>
    </w:pPr>
    <w:rPr>
      <w:rFonts w:ascii="Arial" w:eastAsiaTheme="minorHAnsi" w:hAnsi="Arial" w:cstheme="minorBidi"/>
      <w:szCs w:val="22"/>
    </w:rPr>
  </w:style>
  <w:style w:type="character" w:styleId="Hyperlink">
    <w:name w:val="Hyperlink"/>
    <w:basedOn w:val="DefaultParagraphFont"/>
    <w:uiPriority w:val="99"/>
    <w:unhideWhenUsed/>
    <w:rsid w:val="00326140"/>
    <w:rPr>
      <w:color w:val="0563C1" w:themeColor="hyperlink"/>
      <w:u w:val="single"/>
    </w:rPr>
  </w:style>
  <w:style w:type="character" w:customStyle="1" w:styleId="HeaderChar">
    <w:name w:val="Header Char"/>
    <w:basedOn w:val="DefaultParagraphFont"/>
    <w:link w:val="Header"/>
    <w:uiPriority w:val="99"/>
    <w:rsid w:val="008B0E12"/>
    <w:rPr>
      <w:sz w:val="24"/>
    </w:rPr>
  </w:style>
  <w:style w:type="character" w:customStyle="1" w:styleId="FooterChar">
    <w:name w:val="Footer Char"/>
    <w:basedOn w:val="DefaultParagraphFont"/>
    <w:link w:val="Footer"/>
    <w:uiPriority w:val="99"/>
    <w:rsid w:val="008B0E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risten.Guerrero@cdph.c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HENDERS\Desktop\Admin%20Memo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8AF8602C77E14AAA96627DAC73F84F" ma:contentTypeVersion="3" ma:contentTypeDescription="Create a new document." ma:contentTypeScope="" ma:versionID="bee79b3898e4a3ef204de7372f4e7061">
  <xsd:schema xmlns:xsd="http://www.w3.org/2001/XMLSchema" xmlns:xs="http://www.w3.org/2001/XMLSchema" xmlns:p="http://schemas.microsoft.com/office/2006/metadata/properties" xmlns:ns2="be4e5ba1-045a-445e-9a99-cc8ea4c4eea4" targetNamespace="http://schemas.microsoft.com/office/2006/metadata/properties" ma:root="true" ma:fieldsID="14e5300fcaaf070830784d0eb0924e36" ns2:_="">
    <xsd:import namespace="be4e5ba1-045a-445e-9a99-cc8ea4c4eea4"/>
    <xsd:element name="properties">
      <xsd:complexType>
        <xsd:sequence>
          <xsd:element name="documentManagement">
            <xsd:complexType>
              <xsd:all>
                <xsd:element ref="ns2:MediaServiceMetadata" minOccurs="0"/>
                <xsd:element ref="ns2:MediaServiceFast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e5ba1-045a-445e-9a99-cc8ea4c4e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4DE074D-DB19-4128-9585-2EA4E0309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e5ba1-045a-445e-9a99-cc8ea4c4e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0DDC1-43B5-4BFF-BECB-E4C959E8D505}">
  <ds:schemaRefs>
    <ds:schemaRef ds:uri="http://schemas.microsoft.com/sharepoint/v3/contenttype/forms"/>
  </ds:schemaRefs>
</ds:datastoreItem>
</file>

<file path=customXml/itemProps3.xml><?xml version="1.0" encoding="utf-8"?>
<ds:datastoreItem xmlns:ds="http://schemas.openxmlformats.org/officeDocument/2006/customXml" ds:itemID="{D00B40E6-E83F-41D3-BA48-325F53E00F9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e4e5ba1-045a-445e-9a99-cc8ea4c4eea4"/>
    <ds:schemaRef ds:uri="http://www.w3.org/XML/1998/namespace"/>
    <ds:schemaRef ds:uri="http://purl.org/dc/dcmitype/"/>
  </ds:schemaRefs>
</ds:datastoreItem>
</file>

<file path=customXml/itemProps4.xml><?xml version="1.0" encoding="utf-8"?>
<ds:datastoreItem xmlns:ds="http://schemas.openxmlformats.org/officeDocument/2006/customXml" ds:itemID="{646090FD-0341-4ABC-BA64-F1DEA1179C8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Admin Memo_1</Template>
  <TotalTime>0</TotalTime>
  <Pages>8</Pages>
  <Words>1267</Words>
  <Characters>7222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CDPH Memorandum</vt:lpstr>
    </vt:vector>
  </TitlesOfParts>
  <Manager>Program Support Branch</Manager>
  <Company>CDPH</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CDPH Memorandum</dc:title>
  <dc:subject>CDPH Memohead template</dc:subject>
  <dc:creator>CDPH</dc:creator>
  <cp:keywords>CDPH Memorandum,CDPH,Program Support Branch,form</cp:keywords>
  <cp:lastModifiedBy>Angela Zambrano-Ford</cp:lastModifiedBy>
  <cp:revision>2</cp:revision>
  <cp:lastPrinted>2000-09-05T18:33:00Z</cp:lastPrinted>
  <dcterms:created xsi:type="dcterms:W3CDTF">2023-04-27T18:08:00Z</dcterms:created>
  <dcterms:modified xsi:type="dcterms:W3CDTF">2023-04-27T18:08:00Z</dcterms:modified>
  <cp:category>Correspondence IntrAnet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Williams, Abigail (CDPH-PSB)</vt:lpwstr>
  </property>
  <property fmtid="{D5CDD505-2E9C-101B-9397-08002B2CF9AE}" pid="4" name="Order">
    <vt:lpwstr>120000.000000000</vt:lpwstr>
  </property>
  <property fmtid="{D5CDD505-2E9C-101B-9397-08002B2CF9AE}" pid="5" name="display_urn:schemas-microsoft-com:office:office#Author">
    <vt:lpwstr>Greene, Jim (CDPH-CHSI)</vt:lpwstr>
  </property>
  <property fmtid="{D5CDD505-2E9C-101B-9397-08002B2CF9AE}" pid="6" name="ContentTypeId">
    <vt:lpwstr>0x010100118AF8602C77E14AAA96627DAC73F84F</vt:lpwstr>
  </property>
</Properties>
</file>