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FDD26" w14:textId="77777777" w:rsidR="00255605" w:rsidRPr="00B370B8" w:rsidRDefault="00B370B8" w:rsidP="00B370B8">
      <w:pPr>
        <w:jc w:val="center"/>
        <w:rPr>
          <w:b/>
          <w:sz w:val="28"/>
        </w:rPr>
      </w:pPr>
      <w:r w:rsidRPr="00B370B8">
        <w:rPr>
          <w:b/>
          <w:sz w:val="28"/>
        </w:rPr>
        <w:t>“EXHIBIT A”</w:t>
      </w:r>
    </w:p>
    <w:p w14:paraId="1AA3D6AB" w14:textId="77777777" w:rsidR="00B370B8" w:rsidRPr="00B370B8" w:rsidRDefault="00B370B8" w:rsidP="00B370B8">
      <w:pPr>
        <w:rPr>
          <w:b/>
          <w:bCs/>
        </w:rPr>
      </w:pPr>
      <w:r w:rsidRPr="00B370B8">
        <w:rPr>
          <w:b/>
          <w:bCs/>
        </w:rPr>
        <w:t>Task 1 – Project Management and Administration</w:t>
      </w:r>
    </w:p>
    <w:p w14:paraId="1A6F2C20" w14:textId="77777777" w:rsidR="00B370B8" w:rsidRDefault="00B370B8" w:rsidP="00B370B8">
      <w:r w:rsidRPr="00B370B8">
        <w:t>Grantee will provide technical and administrative services associated with implementation of the Project, including managing this Agreement, assuring all permits are finalized, securing Project Site Access, administering subcontracts, invoicing and payments, drafting and finalizing progress and final reports, and data management.</w:t>
      </w:r>
    </w:p>
    <w:p w14:paraId="35FC7E79" w14:textId="77777777" w:rsidR="00B370B8" w:rsidRPr="00B370B8" w:rsidRDefault="00B370B8" w:rsidP="00B370B8">
      <w:pPr>
        <w:rPr>
          <w:b/>
          <w:bCs/>
        </w:rPr>
      </w:pPr>
      <w:r w:rsidRPr="00B370B8">
        <w:rPr>
          <w:b/>
          <w:bCs/>
        </w:rPr>
        <w:t>Task 2 – SVID Recharge Project:</w:t>
      </w:r>
    </w:p>
    <w:p w14:paraId="328CC04C" w14:textId="77777777" w:rsidR="00B370B8" w:rsidRPr="00B370B8" w:rsidRDefault="00B370B8" w:rsidP="00B370B8">
      <w:r w:rsidRPr="00B370B8">
        <w:t>This task involves continuation of the SVID Recharge Project, with added focus on ditch water behavior and potential benefits to groundwater recharge and instream flows. Work under this task involves completing necessary reporting efforts to ensure the continuation of this recharge project under the 5-year temporary water rights permit and progress towards a permanent permit application. Reporting includes development of annual Diversion Reports, as required by the under the temporary water rights permits. Existing monitoring sites can be seen in Figure 2 of Attachment 3 to this application. While most of the monitoring sites have telemetry, data collection may involve calibrations, field verifications, quality assurance and quality control of the data as well as fulfilment of the biological monitoring plan, as required under the current 180-day temporary permit. Samples will also be collected for isotope analysis to help evaluate groundwater recharge dynamics. The SVIHM will be used to run long term scenarios and quantity benefits from ditch infiltration and groundwater recharge under different water year types and conditions. Work under this task will be primarily completed by the subcontractor and a Water Rights Consultant.</w:t>
      </w:r>
    </w:p>
    <w:p w14:paraId="5CBA035E" w14:textId="77777777" w:rsidR="00B370B8" w:rsidRDefault="00B370B8" w:rsidP="00B370B8">
      <w:r w:rsidRPr="00B370B8">
        <w:t>Deliverables: Diversion Reports, annually with estimated completion by June 1st, Final report, estimated completion by March 15, 2026.</w:t>
      </w:r>
    </w:p>
    <w:p w14:paraId="67200C3B" w14:textId="77777777" w:rsidR="00B370B8" w:rsidRPr="00B370B8" w:rsidRDefault="00B370B8" w:rsidP="00B370B8">
      <w:pPr>
        <w:rPr>
          <w:b/>
          <w:bCs/>
        </w:rPr>
      </w:pPr>
      <w:r w:rsidRPr="00B370B8">
        <w:rPr>
          <w:b/>
          <w:bCs/>
        </w:rPr>
        <w:t>Task 3 – Ditch Infiltration Studies</w:t>
      </w:r>
    </w:p>
    <w:p w14:paraId="53822087" w14:textId="77777777" w:rsidR="00B370B8" w:rsidRPr="00B370B8" w:rsidRDefault="00B370B8" w:rsidP="00B370B8">
      <w:r w:rsidRPr="00B370B8">
        <w:t>Three locations on the westside of Scott Valley have been identified: Barker ditch, Etna Mill ditch, and Patterson Creek. Monitoring will include continuous groundwater levels and temperature, ditch infiltration and streamflow with existing infrastructure used as much as possible. This task involves monitoring design, diverting under appropriate conditions, completing data collection, and reporting. Monitoring efforts include a network of monitoring wells for each site to measure changes in groundwater levels in areas anticipated to be impacted by ditch infiltration and control wells as a point of comparison. Flow targets, when flows exceed instream flow needs for fish, will be developed as a framework for diversion and biological monitoring will be conducted to ensure no adverse effects on fish. The model will be used to evaluate benefits and examine long term scenarios based on the timing and duration of winter ditch use under different conditions and water year types. Work under this task will be primarily completed by the subcontractor.</w:t>
      </w:r>
    </w:p>
    <w:p w14:paraId="4226C6DD" w14:textId="77777777" w:rsidR="00B370B8" w:rsidRDefault="00B370B8" w:rsidP="00B370B8">
      <w:r w:rsidRPr="00B370B8">
        <w:t>Deliverables: Final monitoring design plan, estimated completion by November 30, 2023. Data collection annually by June 1st, Diversion records and reporting annually by June 1st.Final report, estimated completion by March 15, 2026.</w:t>
      </w:r>
    </w:p>
    <w:p w14:paraId="089C5951" w14:textId="77777777" w:rsidR="001740DF" w:rsidRDefault="001740DF" w:rsidP="00B370B8"/>
    <w:p w14:paraId="381469C0" w14:textId="77777777" w:rsidR="001740DF" w:rsidRDefault="001740DF" w:rsidP="00B370B8"/>
    <w:p w14:paraId="14CCC489" w14:textId="77777777" w:rsidR="001740DF" w:rsidRDefault="001740DF" w:rsidP="00B370B8"/>
    <w:p w14:paraId="21E07283" w14:textId="77777777" w:rsidR="001740DF" w:rsidRDefault="001740DF" w:rsidP="00B370B8"/>
    <w:p w14:paraId="1A64B215" w14:textId="46E37C89" w:rsidR="00B370B8" w:rsidRPr="001740DF" w:rsidRDefault="00B370B8" w:rsidP="00B370B8">
      <w:pPr>
        <w:rPr>
          <w:b/>
          <w:bCs/>
        </w:rPr>
      </w:pPr>
      <w:r w:rsidRPr="00B370B8">
        <w:rPr>
          <w:b/>
          <w:bCs/>
        </w:rPr>
        <w:lastRenderedPageBreak/>
        <w:t>Schedule of Due Dates and Deliverables:</w:t>
      </w:r>
    </w:p>
    <w:tbl>
      <w:tblPr>
        <w:tblW w:w="0" w:type="auto"/>
        <w:tblInd w:w="436" w:type="dxa"/>
        <w:tblLayout w:type="fixed"/>
        <w:tblCellMar>
          <w:left w:w="0" w:type="dxa"/>
          <w:right w:w="0" w:type="dxa"/>
        </w:tblCellMar>
        <w:tblLook w:val="0000" w:firstRow="0" w:lastRow="0" w:firstColumn="0" w:lastColumn="0" w:noHBand="0" w:noVBand="0"/>
      </w:tblPr>
      <w:tblGrid>
        <w:gridCol w:w="778"/>
        <w:gridCol w:w="2617"/>
        <w:gridCol w:w="2626"/>
        <w:gridCol w:w="2808"/>
      </w:tblGrid>
      <w:tr w:rsidR="00B370B8" w:rsidRPr="00B370B8" w14:paraId="3AA0DF7E" w14:textId="77777777" w:rsidTr="001740DF">
        <w:trPr>
          <w:trHeight w:val="666"/>
        </w:trPr>
        <w:tc>
          <w:tcPr>
            <w:tcW w:w="778" w:type="dxa"/>
            <w:tcBorders>
              <w:top w:val="single" w:sz="4" w:space="0" w:color="000000"/>
              <w:left w:val="single" w:sz="4" w:space="0" w:color="000000"/>
              <w:bottom w:val="single" w:sz="4" w:space="0" w:color="000000"/>
              <w:right w:val="single" w:sz="4" w:space="0" w:color="000000"/>
            </w:tcBorders>
          </w:tcPr>
          <w:p w14:paraId="241084AE" w14:textId="77777777" w:rsidR="00B370B8" w:rsidRPr="00B370B8" w:rsidRDefault="00B370B8" w:rsidP="00B370B8">
            <w:pPr>
              <w:rPr>
                <w:b/>
                <w:bCs/>
              </w:rPr>
            </w:pPr>
            <w:r w:rsidRPr="00B370B8">
              <w:rPr>
                <w:b/>
                <w:bCs/>
                <w:u w:val="single"/>
              </w:rPr>
              <w:t>Task</w:t>
            </w:r>
          </w:p>
        </w:tc>
        <w:tc>
          <w:tcPr>
            <w:tcW w:w="2617" w:type="dxa"/>
            <w:tcBorders>
              <w:top w:val="single" w:sz="4" w:space="0" w:color="000000"/>
              <w:left w:val="single" w:sz="4" w:space="0" w:color="000000"/>
              <w:bottom w:val="single" w:sz="4" w:space="0" w:color="000000"/>
              <w:right w:val="single" w:sz="4" w:space="0" w:color="000000"/>
            </w:tcBorders>
          </w:tcPr>
          <w:p w14:paraId="28BED1C4" w14:textId="77777777" w:rsidR="00B370B8" w:rsidRPr="00B370B8" w:rsidRDefault="00B370B8" w:rsidP="00B370B8">
            <w:pPr>
              <w:rPr>
                <w:b/>
                <w:bCs/>
              </w:rPr>
            </w:pPr>
            <w:r w:rsidRPr="00B370B8">
              <w:rPr>
                <w:b/>
                <w:bCs/>
                <w:u w:val="single"/>
              </w:rPr>
              <w:t>Description</w:t>
            </w:r>
          </w:p>
        </w:tc>
        <w:tc>
          <w:tcPr>
            <w:tcW w:w="2626" w:type="dxa"/>
            <w:tcBorders>
              <w:top w:val="single" w:sz="4" w:space="0" w:color="000000"/>
              <w:left w:val="single" w:sz="4" w:space="0" w:color="000000"/>
              <w:bottom w:val="single" w:sz="4" w:space="0" w:color="000000"/>
              <w:right w:val="single" w:sz="4" w:space="0" w:color="000000"/>
            </w:tcBorders>
          </w:tcPr>
          <w:p w14:paraId="3B821BC7" w14:textId="77777777" w:rsidR="00B370B8" w:rsidRPr="00B370B8" w:rsidRDefault="00B370B8" w:rsidP="00B370B8">
            <w:pPr>
              <w:rPr>
                <w:b/>
                <w:bCs/>
              </w:rPr>
            </w:pPr>
            <w:r w:rsidRPr="00B370B8">
              <w:rPr>
                <w:b/>
                <w:bCs/>
                <w:u w:val="single"/>
              </w:rPr>
              <w:t>Deliverables</w:t>
            </w:r>
          </w:p>
        </w:tc>
        <w:tc>
          <w:tcPr>
            <w:tcW w:w="2808" w:type="dxa"/>
            <w:tcBorders>
              <w:top w:val="single" w:sz="4" w:space="0" w:color="000000"/>
              <w:left w:val="single" w:sz="4" w:space="0" w:color="000000"/>
              <w:bottom w:val="single" w:sz="4" w:space="0" w:color="000000"/>
              <w:right w:val="single" w:sz="4" w:space="0" w:color="000000"/>
            </w:tcBorders>
          </w:tcPr>
          <w:p w14:paraId="09707764" w14:textId="77777777" w:rsidR="00B370B8" w:rsidRPr="00B370B8" w:rsidRDefault="00B370B8" w:rsidP="00B370B8">
            <w:pPr>
              <w:rPr>
                <w:b/>
                <w:bCs/>
              </w:rPr>
            </w:pPr>
            <w:r w:rsidRPr="00B370B8">
              <w:rPr>
                <w:b/>
                <w:bCs/>
                <w:u w:val="single"/>
              </w:rPr>
              <w:t>Estimated</w:t>
            </w:r>
            <w:r w:rsidRPr="00B370B8">
              <w:rPr>
                <w:b/>
                <w:bCs/>
              </w:rPr>
              <w:t xml:space="preserve"> </w:t>
            </w:r>
            <w:r w:rsidRPr="00B370B8">
              <w:rPr>
                <w:b/>
                <w:bCs/>
                <w:u w:val="single"/>
              </w:rPr>
              <w:t>Completion Dates</w:t>
            </w:r>
          </w:p>
        </w:tc>
      </w:tr>
      <w:tr w:rsidR="00B370B8" w:rsidRPr="00B370B8" w14:paraId="027726D9" w14:textId="77777777" w:rsidTr="001740DF">
        <w:trPr>
          <w:trHeight w:val="2210"/>
        </w:trPr>
        <w:tc>
          <w:tcPr>
            <w:tcW w:w="778" w:type="dxa"/>
            <w:vMerge w:val="restart"/>
            <w:tcBorders>
              <w:top w:val="single" w:sz="4" w:space="0" w:color="000000"/>
              <w:left w:val="single" w:sz="4" w:space="0" w:color="000000"/>
              <w:bottom w:val="single" w:sz="4" w:space="0" w:color="000000"/>
              <w:right w:val="single" w:sz="4" w:space="0" w:color="000000"/>
            </w:tcBorders>
          </w:tcPr>
          <w:p w14:paraId="48AAA609" w14:textId="77777777" w:rsidR="00B370B8" w:rsidRPr="00B370B8" w:rsidRDefault="00B370B8" w:rsidP="00B370B8">
            <w:r w:rsidRPr="00B370B8">
              <w:t>1</w:t>
            </w:r>
          </w:p>
        </w:tc>
        <w:tc>
          <w:tcPr>
            <w:tcW w:w="2617" w:type="dxa"/>
            <w:vMerge w:val="restart"/>
            <w:tcBorders>
              <w:top w:val="single" w:sz="4" w:space="0" w:color="000000"/>
              <w:left w:val="single" w:sz="4" w:space="0" w:color="000000"/>
              <w:bottom w:val="single" w:sz="4" w:space="0" w:color="000000"/>
              <w:right w:val="single" w:sz="4" w:space="0" w:color="000000"/>
            </w:tcBorders>
          </w:tcPr>
          <w:p w14:paraId="55B08920" w14:textId="77777777" w:rsidR="00B370B8" w:rsidRPr="00B370B8" w:rsidRDefault="00B370B8" w:rsidP="00B370B8">
            <w:r w:rsidRPr="00B370B8">
              <w:t>Project Management and Administration</w:t>
            </w:r>
          </w:p>
        </w:tc>
        <w:tc>
          <w:tcPr>
            <w:tcW w:w="2626" w:type="dxa"/>
            <w:tcBorders>
              <w:top w:val="single" w:sz="4" w:space="0" w:color="000000"/>
              <w:left w:val="single" w:sz="4" w:space="0" w:color="000000"/>
              <w:bottom w:val="single" w:sz="4" w:space="0" w:color="000000"/>
              <w:right w:val="single" w:sz="4" w:space="0" w:color="000000"/>
            </w:tcBorders>
          </w:tcPr>
          <w:p w14:paraId="70897301" w14:textId="77777777" w:rsidR="00B370B8" w:rsidRPr="00B370B8" w:rsidRDefault="00B370B8" w:rsidP="00B370B8">
            <w:r w:rsidRPr="00B370B8">
              <w:t>Quarterly Progress Reports</w:t>
            </w:r>
          </w:p>
        </w:tc>
        <w:tc>
          <w:tcPr>
            <w:tcW w:w="2808" w:type="dxa"/>
            <w:tcBorders>
              <w:top w:val="single" w:sz="4" w:space="0" w:color="000000"/>
              <w:left w:val="single" w:sz="4" w:space="0" w:color="000000"/>
              <w:bottom w:val="single" w:sz="4" w:space="0" w:color="000000"/>
              <w:right w:val="single" w:sz="4" w:space="0" w:color="000000"/>
            </w:tcBorders>
          </w:tcPr>
          <w:p w14:paraId="640DDA28" w14:textId="77777777" w:rsidR="00B370B8" w:rsidRPr="00B370B8" w:rsidRDefault="00B370B8" w:rsidP="00B370B8">
            <w:r w:rsidRPr="00B370B8">
              <w:t>Due within 30 days following each calendar quarter (March, June, September, December) following grant execution.</w:t>
            </w:r>
          </w:p>
        </w:tc>
      </w:tr>
      <w:tr w:rsidR="00B370B8" w:rsidRPr="00B370B8" w14:paraId="72FF7FB4" w14:textId="77777777" w:rsidTr="001740DF">
        <w:trPr>
          <w:trHeight w:val="2208"/>
        </w:trPr>
        <w:tc>
          <w:tcPr>
            <w:tcW w:w="778" w:type="dxa"/>
            <w:vMerge/>
            <w:tcBorders>
              <w:top w:val="nil"/>
              <w:left w:val="single" w:sz="4" w:space="0" w:color="000000"/>
              <w:bottom w:val="single" w:sz="4" w:space="0" w:color="000000"/>
              <w:right w:val="single" w:sz="4" w:space="0" w:color="000000"/>
            </w:tcBorders>
          </w:tcPr>
          <w:p w14:paraId="3019FF0B" w14:textId="77777777" w:rsidR="00B370B8" w:rsidRPr="00B370B8" w:rsidRDefault="00B370B8" w:rsidP="00B370B8"/>
        </w:tc>
        <w:tc>
          <w:tcPr>
            <w:tcW w:w="2617" w:type="dxa"/>
            <w:vMerge/>
            <w:tcBorders>
              <w:top w:val="nil"/>
              <w:left w:val="single" w:sz="4" w:space="0" w:color="000000"/>
              <w:bottom w:val="single" w:sz="4" w:space="0" w:color="000000"/>
              <w:right w:val="single" w:sz="4" w:space="0" w:color="000000"/>
            </w:tcBorders>
          </w:tcPr>
          <w:p w14:paraId="705A02EA" w14:textId="77777777" w:rsidR="00B370B8" w:rsidRPr="00B370B8" w:rsidRDefault="00B370B8" w:rsidP="00B370B8"/>
        </w:tc>
        <w:tc>
          <w:tcPr>
            <w:tcW w:w="2626" w:type="dxa"/>
            <w:tcBorders>
              <w:top w:val="single" w:sz="4" w:space="0" w:color="000000"/>
              <w:left w:val="single" w:sz="4" w:space="0" w:color="000000"/>
              <w:bottom w:val="single" w:sz="4" w:space="0" w:color="000000"/>
              <w:right w:val="single" w:sz="4" w:space="0" w:color="000000"/>
            </w:tcBorders>
          </w:tcPr>
          <w:p w14:paraId="482ECB82" w14:textId="77777777" w:rsidR="00B370B8" w:rsidRPr="00B370B8" w:rsidRDefault="00B370B8" w:rsidP="00B370B8">
            <w:r w:rsidRPr="00B370B8">
              <w:t>Quarterly Invoices</w:t>
            </w:r>
          </w:p>
        </w:tc>
        <w:tc>
          <w:tcPr>
            <w:tcW w:w="2808" w:type="dxa"/>
            <w:tcBorders>
              <w:top w:val="single" w:sz="4" w:space="0" w:color="000000"/>
              <w:left w:val="single" w:sz="4" w:space="0" w:color="000000"/>
              <w:bottom w:val="single" w:sz="4" w:space="0" w:color="000000"/>
              <w:right w:val="single" w:sz="4" w:space="0" w:color="000000"/>
            </w:tcBorders>
          </w:tcPr>
          <w:p w14:paraId="464227D9" w14:textId="77777777" w:rsidR="00B370B8" w:rsidRPr="00B370B8" w:rsidRDefault="00B370B8" w:rsidP="00B370B8">
            <w:r w:rsidRPr="00B370B8">
              <w:t>Due within 30 days following each calendar quarter (March, June, September, December) following grant execution.</w:t>
            </w:r>
          </w:p>
        </w:tc>
      </w:tr>
      <w:tr w:rsidR="00B370B8" w:rsidRPr="00B370B8" w14:paraId="221C46E3" w14:textId="77777777" w:rsidTr="001740DF">
        <w:trPr>
          <w:trHeight w:val="791"/>
        </w:trPr>
        <w:tc>
          <w:tcPr>
            <w:tcW w:w="778" w:type="dxa"/>
            <w:vMerge/>
            <w:tcBorders>
              <w:top w:val="nil"/>
              <w:left w:val="single" w:sz="4" w:space="0" w:color="000000"/>
              <w:bottom w:val="single" w:sz="4" w:space="0" w:color="000000"/>
              <w:right w:val="single" w:sz="4" w:space="0" w:color="000000"/>
            </w:tcBorders>
          </w:tcPr>
          <w:p w14:paraId="4ED30E5B" w14:textId="77777777" w:rsidR="00B370B8" w:rsidRPr="00B370B8" w:rsidRDefault="00B370B8" w:rsidP="00B370B8"/>
        </w:tc>
        <w:tc>
          <w:tcPr>
            <w:tcW w:w="2617" w:type="dxa"/>
            <w:vMerge/>
            <w:tcBorders>
              <w:top w:val="nil"/>
              <w:left w:val="single" w:sz="4" w:space="0" w:color="000000"/>
              <w:bottom w:val="single" w:sz="4" w:space="0" w:color="000000"/>
              <w:right w:val="single" w:sz="4" w:space="0" w:color="000000"/>
            </w:tcBorders>
          </w:tcPr>
          <w:p w14:paraId="11DA9D8A" w14:textId="77777777" w:rsidR="00B370B8" w:rsidRPr="00B370B8" w:rsidRDefault="00B370B8" w:rsidP="00B370B8"/>
        </w:tc>
        <w:tc>
          <w:tcPr>
            <w:tcW w:w="2626" w:type="dxa"/>
            <w:tcBorders>
              <w:top w:val="single" w:sz="4" w:space="0" w:color="000000"/>
              <w:left w:val="single" w:sz="4" w:space="0" w:color="000000"/>
              <w:bottom w:val="single" w:sz="4" w:space="0" w:color="000000"/>
              <w:right w:val="single" w:sz="4" w:space="0" w:color="000000"/>
            </w:tcBorders>
          </w:tcPr>
          <w:p w14:paraId="0ADA80DE" w14:textId="77777777" w:rsidR="00B370B8" w:rsidRPr="00B370B8" w:rsidRDefault="00B370B8" w:rsidP="00B370B8">
            <w:r w:rsidRPr="00B370B8">
              <w:t>Copies of Executed Subcontracts</w:t>
            </w:r>
          </w:p>
        </w:tc>
        <w:tc>
          <w:tcPr>
            <w:tcW w:w="2808" w:type="dxa"/>
            <w:tcBorders>
              <w:top w:val="single" w:sz="4" w:space="0" w:color="000000"/>
              <w:left w:val="single" w:sz="4" w:space="0" w:color="000000"/>
              <w:bottom w:val="single" w:sz="4" w:space="0" w:color="000000"/>
              <w:right w:val="single" w:sz="4" w:space="0" w:color="000000"/>
            </w:tcBorders>
          </w:tcPr>
          <w:p w14:paraId="7B8E6DEE" w14:textId="77777777" w:rsidR="00B370B8" w:rsidRPr="00B370B8" w:rsidRDefault="00B370B8" w:rsidP="00B370B8">
            <w:r w:rsidRPr="00B370B8">
              <w:t>05/30/2023</w:t>
            </w:r>
          </w:p>
        </w:tc>
      </w:tr>
      <w:tr w:rsidR="00B370B8" w:rsidRPr="00B370B8" w14:paraId="11325D1B" w14:textId="77777777" w:rsidTr="001740DF">
        <w:trPr>
          <w:trHeight w:val="794"/>
        </w:trPr>
        <w:tc>
          <w:tcPr>
            <w:tcW w:w="778" w:type="dxa"/>
            <w:vMerge/>
            <w:tcBorders>
              <w:top w:val="nil"/>
              <w:left w:val="single" w:sz="4" w:space="0" w:color="000000"/>
              <w:bottom w:val="single" w:sz="4" w:space="0" w:color="000000"/>
              <w:right w:val="single" w:sz="4" w:space="0" w:color="000000"/>
            </w:tcBorders>
          </w:tcPr>
          <w:p w14:paraId="31D83D05" w14:textId="77777777" w:rsidR="00B370B8" w:rsidRPr="00B370B8" w:rsidRDefault="00B370B8" w:rsidP="00B370B8"/>
        </w:tc>
        <w:tc>
          <w:tcPr>
            <w:tcW w:w="2617" w:type="dxa"/>
            <w:vMerge/>
            <w:tcBorders>
              <w:top w:val="nil"/>
              <w:left w:val="single" w:sz="4" w:space="0" w:color="000000"/>
              <w:bottom w:val="single" w:sz="4" w:space="0" w:color="000000"/>
              <w:right w:val="single" w:sz="4" w:space="0" w:color="000000"/>
            </w:tcBorders>
          </w:tcPr>
          <w:p w14:paraId="4FA9B864" w14:textId="77777777" w:rsidR="00B370B8" w:rsidRPr="00B370B8" w:rsidRDefault="00B370B8" w:rsidP="00B370B8"/>
        </w:tc>
        <w:tc>
          <w:tcPr>
            <w:tcW w:w="2626" w:type="dxa"/>
            <w:tcBorders>
              <w:top w:val="single" w:sz="4" w:space="0" w:color="000000"/>
              <w:left w:val="single" w:sz="4" w:space="0" w:color="000000"/>
              <w:bottom w:val="single" w:sz="4" w:space="0" w:color="000000"/>
              <w:right w:val="single" w:sz="4" w:space="0" w:color="000000"/>
            </w:tcBorders>
          </w:tcPr>
          <w:p w14:paraId="3D13AA6C" w14:textId="77777777" w:rsidR="00B370B8" w:rsidRPr="00B370B8" w:rsidRDefault="00B370B8" w:rsidP="00B370B8">
            <w:r w:rsidRPr="00B370B8">
              <w:t>Submit Project Data</w:t>
            </w:r>
          </w:p>
        </w:tc>
        <w:tc>
          <w:tcPr>
            <w:tcW w:w="2808" w:type="dxa"/>
            <w:tcBorders>
              <w:top w:val="single" w:sz="4" w:space="0" w:color="000000"/>
              <w:left w:val="single" w:sz="4" w:space="0" w:color="000000"/>
              <w:bottom w:val="single" w:sz="4" w:space="0" w:color="000000"/>
              <w:right w:val="single" w:sz="4" w:space="0" w:color="000000"/>
            </w:tcBorders>
          </w:tcPr>
          <w:p w14:paraId="367DBFC3" w14:textId="77777777" w:rsidR="00B370B8" w:rsidRPr="00B370B8" w:rsidRDefault="00B370B8" w:rsidP="00B370B8">
            <w:r w:rsidRPr="00B370B8">
              <w:t>With Final Report, by 03/15/2026</w:t>
            </w:r>
          </w:p>
        </w:tc>
      </w:tr>
      <w:tr w:rsidR="00B370B8" w:rsidRPr="00B370B8" w14:paraId="3EBCF5C7" w14:textId="77777777" w:rsidTr="001740DF">
        <w:trPr>
          <w:trHeight w:val="791"/>
        </w:trPr>
        <w:tc>
          <w:tcPr>
            <w:tcW w:w="778" w:type="dxa"/>
            <w:vMerge/>
            <w:tcBorders>
              <w:top w:val="nil"/>
              <w:left w:val="single" w:sz="4" w:space="0" w:color="000000"/>
              <w:bottom w:val="single" w:sz="4" w:space="0" w:color="000000"/>
              <w:right w:val="single" w:sz="4" w:space="0" w:color="000000"/>
            </w:tcBorders>
          </w:tcPr>
          <w:p w14:paraId="542A904D" w14:textId="77777777" w:rsidR="00B370B8" w:rsidRPr="00B370B8" w:rsidRDefault="00B370B8" w:rsidP="00B370B8"/>
        </w:tc>
        <w:tc>
          <w:tcPr>
            <w:tcW w:w="2617" w:type="dxa"/>
            <w:vMerge/>
            <w:tcBorders>
              <w:top w:val="nil"/>
              <w:left w:val="single" w:sz="4" w:space="0" w:color="000000"/>
              <w:bottom w:val="single" w:sz="4" w:space="0" w:color="000000"/>
              <w:right w:val="single" w:sz="4" w:space="0" w:color="000000"/>
            </w:tcBorders>
          </w:tcPr>
          <w:p w14:paraId="7FEEBC5A" w14:textId="77777777" w:rsidR="00B370B8" w:rsidRPr="00B370B8" w:rsidRDefault="00B370B8" w:rsidP="00B370B8"/>
        </w:tc>
        <w:tc>
          <w:tcPr>
            <w:tcW w:w="2626" w:type="dxa"/>
            <w:tcBorders>
              <w:top w:val="single" w:sz="4" w:space="0" w:color="000000"/>
              <w:left w:val="single" w:sz="4" w:space="0" w:color="000000"/>
              <w:bottom w:val="single" w:sz="4" w:space="0" w:color="000000"/>
              <w:right w:val="single" w:sz="4" w:space="0" w:color="000000"/>
            </w:tcBorders>
          </w:tcPr>
          <w:p w14:paraId="04BCB57F" w14:textId="77777777" w:rsidR="00B370B8" w:rsidRPr="00B370B8" w:rsidRDefault="00B370B8" w:rsidP="00B370B8">
            <w:r w:rsidRPr="00B370B8">
              <w:t>Final Progress Report</w:t>
            </w:r>
          </w:p>
        </w:tc>
        <w:tc>
          <w:tcPr>
            <w:tcW w:w="2808" w:type="dxa"/>
            <w:tcBorders>
              <w:top w:val="single" w:sz="4" w:space="0" w:color="000000"/>
              <w:left w:val="single" w:sz="4" w:space="0" w:color="000000"/>
              <w:bottom w:val="single" w:sz="4" w:space="0" w:color="000000"/>
              <w:right w:val="single" w:sz="4" w:space="0" w:color="000000"/>
            </w:tcBorders>
          </w:tcPr>
          <w:p w14:paraId="568B72B9" w14:textId="77777777" w:rsidR="00B370B8" w:rsidRPr="00B370B8" w:rsidRDefault="00B370B8" w:rsidP="00B370B8">
            <w:r w:rsidRPr="00B370B8">
              <w:t>03/15/2026</w:t>
            </w:r>
          </w:p>
        </w:tc>
      </w:tr>
      <w:tr w:rsidR="00B370B8" w:rsidRPr="00B370B8" w14:paraId="578FAF30" w14:textId="77777777" w:rsidTr="001740DF">
        <w:trPr>
          <w:trHeight w:val="794"/>
        </w:trPr>
        <w:tc>
          <w:tcPr>
            <w:tcW w:w="778" w:type="dxa"/>
            <w:vMerge/>
            <w:tcBorders>
              <w:top w:val="nil"/>
              <w:left w:val="single" w:sz="4" w:space="0" w:color="000000"/>
              <w:bottom w:val="single" w:sz="4" w:space="0" w:color="000000"/>
              <w:right w:val="single" w:sz="4" w:space="0" w:color="000000"/>
            </w:tcBorders>
          </w:tcPr>
          <w:p w14:paraId="722DB393" w14:textId="77777777" w:rsidR="00B370B8" w:rsidRPr="00B370B8" w:rsidRDefault="00B370B8" w:rsidP="00B370B8"/>
        </w:tc>
        <w:tc>
          <w:tcPr>
            <w:tcW w:w="2617" w:type="dxa"/>
            <w:vMerge/>
            <w:tcBorders>
              <w:top w:val="nil"/>
              <w:left w:val="single" w:sz="4" w:space="0" w:color="000000"/>
              <w:bottom w:val="single" w:sz="4" w:space="0" w:color="000000"/>
              <w:right w:val="single" w:sz="4" w:space="0" w:color="000000"/>
            </w:tcBorders>
          </w:tcPr>
          <w:p w14:paraId="5E4EF7E6" w14:textId="77777777" w:rsidR="00B370B8" w:rsidRPr="00B370B8" w:rsidRDefault="00B370B8" w:rsidP="00B370B8"/>
        </w:tc>
        <w:tc>
          <w:tcPr>
            <w:tcW w:w="2626" w:type="dxa"/>
            <w:tcBorders>
              <w:top w:val="single" w:sz="4" w:space="0" w:color="000000"/>
              <w:left w:val="single" w:sz="4" w:space="0" w:color="000000"/>
              <w:bottom w:val="single" w:sz="4" w:space="0" w:color="000000"/>
              <w:right w:val="single" w:sz="4" w:space="0" w:color="000000"/>
            </w:tcBorders>
          </w:tcPr>
          <w:p w14:paraId="1689292B" w14:textId="77777777" w:rsidR="00B370B8" w:rsidRPr="00B370B8" w:rsidRDefault="00B370B8" w:rsidP="00B370B8">
            <w:r w:rsidRPr="00B370B8">
              <w:t>Final Invoice</w:t>
            </w:r>
          </w:p>
        </w:tc>
        <w:tc>
          <w:tcPr>
            <w:tcW w:w="2808" w:type="dxa"/>
            <w:tcBorders>
              <w:top w:val="single" w:sz="4" w:space="0" w:color="000000"/>
              <w:left w:val="single" w:sz="4" w:space="0" w:color="000000"/>
              <w:bottom w:val="single" w:sz="4" w:space="0" w:color="000000"/>
              <w:right w:val="single" w:sz="4" w:space="0" w:color="000000"/>
            </w:tcBorders>
          </w:tcPr>
          <w:p w14:paraId="26FD1EB4" w14:textId="77777777" w:rsidR="00B370B8" w:rsidRPr="00B370B8" w:rsidRDefault="00B370B8" w:rsidP="00B370B8">
            <w:r w:rsidRPr="00B370B8">
              <w:t>03/15/2026</w:t>
            </w:r>
          </w:p>
        </w:tc>
      </w:tr>
      <w:tr w:rsidR="00B370B8" w:rsidRPr="00B370B8" w14:paraId="7504BF29" w14:textId="77777777" w:rsidTr="001740DF">
        <w:trPr>
          <w:trHeight w:val="551"/>
        </w:trPr>
        <w:tc>
          <w:tcPr>
            <w:tcW w:w="778" w:type="dxa"/>
            <w:vMerge w:val="restart"/>
            <w:tcBorders>
              <w:top w:val="single" w:sz="4" w:space="0" w:color="000000"/>
              <w:left w:val="single" w:sz="4" w:space="0" w:color="000000"/>
              <w:bottom w:val="single" w:sz="4" w:space="0" w:color="000000"/>
              <w:right w:val="single" w:sz="4" w:space="0" w:color="000000"/>
            </w:tcBorders>
          </w:tcPr>
          <w:p w14:paraId="3E40AF6F" w14:textId="77777777" w:rsidR="00B370B8" w:rsidRPr="00B370B8" w:rsidRDefault="00B370B8" w:rsidP="00B370B8">
            <w:r w:rsidRPr="00B370B8">
              <w:t>2</w:t>
            </w:r>
          </w:p>
        </w:tc>
        <w:tc>
          <w:tcPr>
            <w:tcW w:w="2617" w:type="dxa"/>
            <w:vMerge w:val="restart"/>
            <w:tcBorders>
              <w:top w:val="single" w:sz="4" w:space="0" w:color="000000"/>
              <w:left w:val="single" w:sz="4" w:space="0" w:color="000000"/>
              <w:bottom w:val="single" w:sz="4" w:space="0" w:color="000000"/>
              <w:right w:val="single" w:sz="4" w:space="0" w:color="000000"/>
            </w:tcBorders>
          </w:tcPr>
          <w:p w14:paraId="52971DD9" w14:textId="77777777" w:rsidR="00B370B8" w:rsidRPr="00B370B8" w:rsidRDefault="00B370B8" w:rsidP="00B370B8">
            <w:r w:rsidRPr="00B370B8">
              <w:t>SVID Recharge Project</w:t>
            </w:r>
          </w:p>
        </w:tc>
        <w:tc>
          <w:tcPr>
            <w:tcW w:w="2626" w:type="dxa"/>
            <w:tcBorders>
              <w:top w:val="single" w:sz="4" w:space="0" w:color="000000"/>
              <w:left w:val="single" w:sz="4" w:space="0" w:color="000000"/>
              <w:bottom w:val="single" w:sz="4" w:space="0" w:color="000000"/>
              <w:right w:val="single" w:sz="4" w:space="0" w:color="000000"/>
            </w:tcBorders>
          </w:tcPr>
          <w:p w14:paraId="0A60F696" w14:textId="77777777" w:rsidR="00B370B8" w:rsidRPr="00B370B8" w:rsidRDefault="00B370B8" w:rsidP="00B370B8">
            <w:r w:rsidRPr="00B370B8">
              <w:t>Final Report</w:t>
            </w:r>
          </w:p>
        </w:tc>
        <w:tc>
          <w:tcPr>
            <w:tcW w:w="2808" w:type="dxa"/>
            <w:tcBorders>
              <w:top w:val="single" w:sz="4" w:space="0" w:color="000000"/>
              <w:left w:val="single" w:sz="4" w:space="0" w:color="000000"/>
              <w:bottom w:val="single" w:sz="4" w:space="0" w:color="000000"/>
              <w:right w:val="single" w:sz="4" w:space="0" w:color="000000"/>
            </w:tcBorders>
          </w:tcPr>
          <w:p w14:paraId="44E0896C" w14:textId="77777777" w:rsidR="00B370B8" w:rsidRPr="00B370B8" w:rsidRDefault="00B370B8" w:rsidP="00B370B8">
            <w:r w:rsidRPr="00B370B8">
              <w:t>03/15/2026</w:t>
            </w:r>
          </w:p>
        </w:tc>
      </w:tr>
      <w:tr w:rsidR="00B370B8" w:rsidRPr="00B370B8" w14:paraId="59DCFE6A" w14:textId="77777777" w:rsidTr="001740DF">
        <w:trPr>
          <w:trHeight w:val="827"/>
        </w:trPr>
        <w:tc>
          <w:tcPr>
            <w:tcW w:w="778" w:type="dxa"/>
            <w:vMerge/>
            <w:tcBorders>
              <w:top w:val="nil"/>
              <w:left w:val="single" w:sz="4" w:space="0" w:color="000000"/>
              <w:bottom w:val="single" w:sz="4" w:space="0" w:color="000000"/>
              <w:right w:val="single" w:sz="4" w:space="0" w:color="000000"/>
            </w:tcBorders>
          </w:tcPr>
          <w:p w14:paraId="52267A4F" w14:textId="77777777" w:rsidR="00B370B8" w:rsidRPr="00B370B8" w:rsidRDefault="00B370B8" w:rsidP="00B370B8"/>
        </w:tc>
        <w:tc>
          <w:tcPr>
            <w:tcW w:w="2617" w:type="dxa"/>
            <w:vMerge/>
            <w:tcBorders>
              <w:top w:val="nil"/>
              <w:left w:val="single" w:sz="4" w:space="0" w:color="000000"/>
              <w:bottom w:val="single" w:sz="4" w:space="0" w:color="000000"/>
              <w:right w:val="single" w:sz="4" w:space="0" w:color="000000"/>
            </w:tcBorders>
          </w:tcPr>
          <w:p w14:paraId="292F10A0" w14:textId="77777777" w:rsidR="00B370B8" w:rsidRPr="00B370B8" w:rsidRDefault="00B370B8" w:rsidP="00B370B8"/>
        </w:tc>
        <w:tc>
          <w:tcPr>
            <w:tcW w:w="2626" w:type="dxa"/>
            <w:tcBorders>
              <w:top w:val="single" w:sz="4" w:space="0" w:color="000000"/>
              <w:left w:val="single" w:sz="4" w:space="0" w:color="000000"/>
              <w:bottom w:val="single" w:sz="4" w:space="0" w:color="000000"/>
              <w:right w:val="single" w:sz="4" w:space="0" w:color="000000"/>
            </w:tcBorders>
          </w:tcPr>
          <w:p w14:paraId="0D9DA17F" w14:textId="77777777" w:rsidR="00B370B8" w:rsidRPr="00B370B8" w:rsidRDefault="00B370B8" w:rsidP="00B370B8">
            <w:r w:rsidRPr="00B370B8">
              <w:t>Diversion Reports</w:t>
            </w:r>
          </w:p>
        </w:tc>
        <w:tc>
          <w:tcPr>
            <w:tcW w:w="2808" w:type="dxa"/>
            <w:tcBorders>
              <w:top w:val="single" w:sz="4" w:space="0" w:color="000000"/>
              <w:left w:val="single" w:sz="4" w:space="0" w:color="000000"/>
              <w:bottom w:val="single" w:sz="4" w:space="0" w:color="000000"/>
              <w:right w:val="single" w:sz="4" w:space="0" w:color="000000"/>
            </w:tcBorders>
          </w:tcPr>
          <w:p w14:paraId="734930AB" w14:textId="77777777" w:rsidR="00B370B8" w:rsidRPr="00B370B8" w:rsidRDefault="00B370B8" w:rsidP="00B370B8">
            <w:r w:rsidRPr="00B370B8">
              <w:t>Due Annually by June 1</w:t>
            </w:r>
          </w:p>
        </w:tc>
      </w:tr>
      <w:tr w:rsidR="00B370B8" w:rsidRPr="00B370B8" w14:paraId="7AF56F13" w14:textId="77777777" w:rsidTr="001740DF">
        <w:trPr>
          <w:trHeight w:val="551"/>
        </w:trPr>
        <w:tc>
          <w:tcPr>
            <w:tcW w:w="778" w:type="dxa"/>
            <w:vMerge w:val="restart"/>
            <w:tcBorders>
              <w:top w:val="single" w:sz="4" w:space="0" w:color="000000"/>
              <w:left w:val="single" w:sz="4" w:space="0" w:color="000000"/>
              <w:bottom w:val="single" w:sz="4" w:space="0" w:color="000000"/>
              <w:right w:val="single" w:sz="4" w:space="0" w:color="000000"/>
            </w:tcBorders>
          </w:tcPr>
          <w:p w14:paraId="0E1910BD" w14:textId="77777777" w:rsidR="00B370B8" w:rsidRPr="00B370B8" w:rsidRDefault="00B370B8" w:rsidP="00B370B8">
            <w:r w:rsidRPr="00B370B8">
              <w:t>3</w:t>
            </w:r>
          </w:p>
        </w:tc>
        <w:tc>
          <w:tcPr>
            <w:tcW w:w="2617" w:type="dxa"/>
            <w:vMerge w:val="restart"/>
            <w:tcBorders>
              <w:top w:val="single" w:sz="4" w:space="0" w:color="000000"/>
              <w:left w:val="single" w:sz="4" w:space="0" w:color="000000"/>
              <w:bottom w:val="single" w:sz="4" w:space="0" w:color="000000"/>
              <w:right w:val="single" w:sz="4" w:space="0" w:color="000000"/>
            </w:tcBorders>
          </w:tcPr>
          <w:p w14:paraId="72A3C92C" w14:textId="77777777" w:rsidR="00B370B8" w:rsidRPr="00B370B8" w:rsidRDefault="00B370B8" w:rsidP="00B370B8">
            <w:r w:rsidRPr="00B370B8">
              <w:t>Ditch Infiltration Studies</w:t>
            </w:r>
          </w:p>
        </w:tc>
        <w:tc>
          <w:tcPr>
            <w:tcW w:w="2626" w:type="dxa"/>
            <w:tcBorders>
              <w:top w:val="single" w:sz="4" w:space="0" w:color="000000"/>
              <w:left w:val="single" w:sz="4" w:space="0" w:color="000000"/>
              <w:bottom w:val="single" w:sz="4" w:space="0" w:color="000000"/>
              <w:right w:val="single" w:sz="4" w:space="0" w:color="000000"/>
            </w:tcBorders>
          </w:tcPr>
          <w:p w14:paraId="106984C3" w14:textId="77777777" w:rsidR="00B370B8" w:rsidRPr="00B370B8" w:rsidRDefault="00B370B8" w:rsidP="00B370B8">
            <w:r w:rsidRPr="00B370B8">
              <w:t>Final Report</w:t>
            </w:r>
          </w:p>
        </w:tc>
        <w:tc>
          <w:tcPr>
            <w:tcW w:w="2808" w:type="dxa"/>
            <w:tcBorders>
              <w:top w:val="single" w:sz="4" w:space="0" w:color="000000"/>
              <w:left w:val="single" w:sz="4" w:space="0" w:color="000000"/>
              <w:bottom w:val="single" w:sz="4" w:space="0" w:color="000000"/>
              <w:right w:val="single" w:sz="4" w:space="0" w:color="000000"/>
            </w:tcBorders>
          </w:tcPr>
          <w:p w14:paraId="3B16F658" w14:textId="77777777" w:rsidR="00B370B8" w:rsidRPr="00B370B8" w:rsidRDefault="00B370B8" w:rsidP="00B370B8">
            <w:r w:rsidRPr="00B370B8">
              <w:t>03/15/2026</w:t>
            </w:r>
          </w:p>
        </w:tc>
      </w:tr>
      <w:tr w:rsidR="00B370B8" w:rsidRPr="00B370B8" w14:paraId="7A86BDD7" w14:textId="77777777" w:rsidTr="001740DF">
        <w:trPr>
          <w:trHeight w:val="830"/>
        </w:trPr>
        <w:tc>
          <w:tcPr>
            <w:tcW w:w="778" w:type="dxa"/>
            <w:vMerge/>
            <w:tcBorders>
              <w:top w:val="nil"/>
              <w:left w:val="single" w:sz="4" w:space="0" w:color="000000"/>
              <w:bottom w:val="single" w:sz="4" w:space="0" w:color="000000"/>
              <w:right w:val="single" w:sz="4" w:space="0" w:color="000000"/>
            </w:tcBorders>
          </w:tcPr>
          <w:p w14:paraId="34B31554" w14:textId="77777777" w:rsidR="00B370B8" w:rsidRPr="00B370B8" w:rsidRDefault="00B370B8" w:rsidP="00B370B8"/>
        </w:tc>
        <w:tc>
          <w:tcPr>
            <w:tcW w:w="2617" w:type="dxa"/>
            <w:vMerge/>
            <w:tcBorders>
              <w:top w:val="nil"/>
              <w:left w:val="single" w:sz="4" w:space="0" w:color="000000"/>
              <w:bottom w:val="single" w:sz="4" w:space="0" w:color="000000"/>
              <w:right w:val="single" w:sz="4" w:space="0" w:color="000000"/>
            </w:tcBorders>
          </w:tcPr>
          <w:p w14:paraId="554600DF" w14:textId="77777777" w:rsidR="00B370B8" w:rsidRPr="00B370B8" w:rsidRDefault="00B370B8" w:rsidP="00B370B8"/>
        </w:tc>
        <w:tc>
          <w:tcPr>
            <w:tcW w:w="2626" w:type="dxa"/>
            <w:tcBorders>
              <w:top w:val="single" w:sz="4" w:space="0" w:color="000000"/>
              <w:left w:val="single" w:sz="4" w:space="0" w:color="000000"/>
              <w:bottom w:val="single" w:sz="4" w:space="0" w:color="000000"/>
              <w:right w:val="single" w:sz="4" w:space="0" w:color="000000"/>
            </w:tcBorders>
          </w:tcPr>
          <w:p w14:paraId="799C3E2E" w14:textId="77777777" w:rsidR="00B370B8" w:rsidRPr="00B370B8" w:rsidRDefault="00B370B8" w:rsidP="00B370B8">
            <w:r w:rsidRPr="00B370B8">
              <w:t>Final Monitoring Design</w:t>
            </w:r>
          </w:p>
        </w:tc>
        <w:tc>
          <w:tcPr>
            <w:tcW w:w="2808" w:type="dxa"/>
            <w:tcBorders>
              <w:top w:val="single" w:sz="4" w:space="0" w:color="000000"/>
              <w:left w:val="single" w:sz="4" w:space="0" w:color="000000"/>
              <w:bottom w:val="single" w:sz="4" w:space="0" w:color="000000"/>
              <w:right w:val="single" w:sz="4" w:space="0" w:color="000000"/>
            </w:tcBorders>
          </w:tcPr>
          <w:p w14:paraId="7A0A5C60" w14:textId="77777777" w:rsidR="00B370B8" w:rsidRPr="00B370B8" w:rsidRDefault="00B370B8" w:rsidP="00B370B8">
            <w:r w:rsidRPr="00B370B8">
              <w:t>11/30/23</w:t>
            </w:r>
          </w:p>
        </w:tc>
      </w:tr>
      <w:tr w:rsidR="00B370B8" w:rsidRPr="00B370B8" w14:paraId="1DE1659D" w14:textId="77777777" w:rsidTr="001740DF">
        <w:trPr>
          <w:trHeight w:val="827"/>
        </w:trPr>
        <w:tc>
          <w:tcPr>
            <w:tcW w:w="778" w:type="dxa"/>
            <w:vMerge/>
            <w:tcBorders>
              <w:top w:val="nil"/>
              <w:left w:val="single" w:sz="4" w:space="0" w:color="000000"/>
              <w:bottom w:val="single" w:sz="4" w:space="0" w:color="000000"/>
              <w:right w:val="single" w:sz="4" w:space="0" w:color="000000"/>
            </w:tcBorders>
          </w:tcPr>
          <w:p w14:paraId="1E2DE1C2" w14:textId="77777777" w:rsidR="00B370B8" w:rsidRPr="00B370B8" w:rsidRDefault="00B370B8" w:rsidP="00B370B8"/>
        </w:tc>
        <w:tc>
          <w:tcPr>
            <w:tcW w:w="2617" w:type="dxa"/>
            <w:vMerge/>
            <w:tcBorders>
              <w:top w:val="nil"/>
              <w:left w:val="single" w:sz="4" w:space="0" w:color="000000"/>
              <w:bottom w:val="single" w:sz="4" w:space="0" w:color="000000"/>
              <w:right w:val="single" w:sz="4" w:space="0" w:color="000000"/>
            </w:tcBorders>
          </w:tcPr>
          <w:p w14:paraId="613AA4AB" w14:textId="77777777" w:rsidR="00B370B8" w:rsidRPr="00B370B8" w:rsidRDefault="00B370B8" w:rsidP="00B370B8"/>
        </w:tc>
        <w:tc>
          <w:tcPr>
            <w:tcW w:w="2626" w:type="dxa"/>
            <w:tcBorders>
              <w:top w:val="single" w:sz="4" w:space="0" w:color="000000"/>
              <w:left w:val="single" w:sz="4" w:space="0" w:color="000000"/>
              <w:bottom w:val="single" w:sz="4" w:space="0" w:color="000000"/>
              <w:right w:val="single" w:sz="4" w:space="0" w:color="000000"/>
            </w:tcBorders>
          </w:tcPr>
          <w:p w14:paraId="21CC221E" w14:textId="77777777" w:rsidR="00B370B8" w:rsidRPr="00B370B8" w:rsidRDefault="00B370B8" w:rsidP="00B370B8">
            <w:r w:rsidRPr="00B370B8">
              <w:t>Diversion Records and Reporting</w:t>
            </w:r>
          </w:p>
        </w:tc>
        <w:tc>
          <w:tcPr>
            <w:tcW w:w="2808" w:type="dxa"/>
            <w:tcBorders>
              <w:top w:val="single" w:sz="4" w:space="0" w:color="000000"/>
              <w:left w:val="single" w:sz="4" w:space="0" w:color="000000"/>
              <w:bottom w:val="single" w:sz="4" w:space="0" w:color="000000"/>
              <w:right w:val="single" w:sz="4" w:space="0" w:color="000000"/>
            </w:tcBorders>
          </w:tcPr>
          <w:p w14:paraId="2F45A540" w14:textId="77777777" w:rsidR="00B370B8" w:rsidRPr="00B370B8" w:rsidRDefault="00B370B8" w:rsidP="00B370B8">
            <w:r w:rsidRPr="00B370B8">
              <w:t>Due Annually by June 1</w:t>
            </w:r>
          </w:p>
        </w:tc>
      </w:tr>
      <w:tr w:rsidR="00B370B8" w:rsidRPr="00B370B8" w14:paraId="5874F0E6" w14:textId="77777777" w:rsidTr="001740DF">
        <w:trPr>
          <w:trHeight w:val="667"/>
        </w:trPr>
        <w:tc>
          <w:tcPr>
            <w:tcW w:w="778" w:type="dxa"/>
            <w:tcBorders>
              <w:top w:val="single" w:sz="4" w:space="0" w:color="000000"/>
              <w:left w:val="single" w:sz="4" w:space="0" w:color="000000"/>
              <w:bottom w:val="single" w:sz="4" w:space="0" w:color="000000"/>
              <w:right w:val="single" w:sz="4" w:space="0" w:color="000000"/>
            </w:tcBorders>
          </w:tcPr>
          <w:p w14:paraId="6B03F7F2" w14:textId="77777777" w:rsidR="00B370B8" w:rsidRPr="00B370B8" w:rsidRDefault="00B370B8" w:rsidP="00B370B8">
            <w:pPr>
              <w:rPr>
                <w:b/>
                <w:bCs/>
              </w:rPr>
            </w:pPr>
            <w:r w:rsidRPr="00B370B8">
              <w:rPr>
                <w:b/>
                <w:bCs/>
                <w:u w:val="single"/>
              </w:rPr>
              <w:t>Task</w:t>
            </w:r>
          </w:p>
        </w:tc>
        <w:tc>
          <w:tcPr>
            <w:tcW w:w="2617" w:type="dxa"/>
            <w:tcBorders>
              <w:top w:val="single" w:sz="4" w:space="0" w:color="000000"/>
              <w:left w:val="single" w:sz="4" w:space="0" w:color="000000"/>
              <w:bottom w:val="single" w:sz="4" w:space="0" w:color="000000"/>
              <w:right w:val="single" w:sz="4" w:space="0" w:color="000000"/>
            </w:tcBorders>
          </w:tcPr>
          <w:p w14:paraId="124BFCCC" w14:textId="77777777" w:rsidR="00B370B8" w:rsidRPr="00B370B8" w:rsidRDefault="00B370B8" w:rsidP="00B370B8">
            <w:pPr>
              <w:rPr>
                <w:b/>
                <w:bCs/>
              </w:rPr>
            </w:pPr>
            <w:r w:rsidRPr="00B370B8">
              <w:rPr>
                <w:b/>
                <w:bCs/>
                <w:u w:val="single"/>
              </w:rPr>
              <w:t>Description</w:t>
            </w:r>
          </w:p>
        </w:tc>
        <w:tc>
          <w:tcPr>
            <w:tcW w:w="2626" w:type="dxa"/>
            <w:tcBorders>
              <w:top w:val="single" w:sz="4" w:space="0" w:color="000000"/>
              <w:left w:val="single" w:sz="4" w:space="0" w:color="000000"/>
              <w:bottom w:val="single" w:sz="4" w:space="0" w:color="000000"/>
              <w:right w:val="single" w:sz="4" w:space="0" w:color="000000"/>
            </w:tcBorders>
          </w:tcPr>
          <w:p w14:paraId="082DD795" w14:textId="77777777" w:rsidR="00B370B8" w:rsidRPr="00B370B8" w:rsidRDefault="00B370B8" w:rsidP="00B370B8">
            <w:pPr>
              <w:rPr>
                <w:b/>
                <w:bCs/>
              </w:rPr>
            </w:pPr>
            <w:r w:rsidRPr="00B370B8">
              <w:rPr>
                <w:b/>
                <w:bCs/>
                <w:u w:val="single"/>
              </w:rPr>
              <w:t>Deliverables</w:t>
            </w:r>
          </w:p>
        </w:tc>
        <w:tc>
          <w:tcPr>
            <w:tcW w:w="2808" w:type="dxa"/>
            <w:tcBorders>
              <w:top w:val="single" w:sz="4" w:space="0" w:color="000000"/>
              <w:left w:val="single" w:sz="4" w:space="0" w:color="000000"/>
              <w:bottom w:val="single" w:sz="4" w:space="0" w:color="000000"/>
              <w:right w:val="single" w:sz="4" w:space="0" w:color="000000"/>
            </w:tcBorders>
          </w:tcPr>
          <w:p w14:paraId="61B42ED1" w14:textId="77777777" w:rsidR="00B370B8" w:rsidRPr="00B370B8" w:rsidRDefault="00B370B8" w:rsidP="00B370B8">
            <w:pPr>
              <w:rPr>
                <w:b/>
                <w:bCs/>
              </w:rPr>
            </w:pPr>
            <w:r w:rsidRPr="00B370B8">
              <w:rPr>
                <w:b/>
                <w:bCs/>
                <w:u w:val="single"/>
              </w:rPr>
              <w:t>Estimated</w:t>
            </w:r>
            <w:r w:rsidRPr="00B370B8">
              <w:rPr>
                <w:b/>
                <w:bCs/>
              </w:rPr>
              <w:t xml:space="preserve"> </w:t>
            </w:r>
            <w:r w:rsidRPr="00B370B8">
              <w:rPr>
                <w:b/>
                <w:bCs/>
                <w:u w:val="single"/>
              </w:rPr>
              <w:t>Completion Dates</w:t>
            </w:r>
          </w:p>
        </w:tc>
      </w:tr>
      <w:tr w:rsidR="00B370B8" w:rsidRPr="00B370B8" w14:paraId="6F45B28E" w14:textId="77777777" w:rsidTr="001740DF">
        <w:trPr>
          <w:trHeight w:val="323"/>
        </w:trPr>
        <w:tc>
          <w:tcPr>
            <w:tcW w:w="778" w:type="dxa"/>
            <w:tcBorders>
              <w:top w:val="single" w:sz="4" w:space="0" w:color="000000"/>
              <w:left w:val="single" w:sz="4" w:space="0" w:color="000000"/>
              <w:bottom w:val="single" w:sz="4" w:space="0" w:color="000000"/>
              <w:right w:val="single" w:sz="4" w:space="0" w:color="000000"/>
            </w:tcBorders>
          </w:tcPr>
          <w:p w14:paraId="194A93C1" w14:textId="77777777" w:rsidR="00B370B8" w:rsidRPr="00B370B8" w:rsidRDefault="00B370B8" w:rsidP="00B370B8"/>
        </w:tc>
        <w:tc>
          <w:tcPr>
            <w:tcW w:w="2617" w:type="dxa"/>
            <w:tcBorders>
              <w:top w:val="single" w:sz="4" w:space="0" w:color="000000"/>
              <w:left w:val="single" w:sz="4" w:space="0" w:color="000000"/>
              <w:bottom w:val="single" w:sz="4" w:space="0" w:color="000000"/>
              <w:right w:val="single" w:sz="4" w:space="0" w:color="000000"/>
            </w:tcBorders>
          </w:tcPr>
          <w:p w14:paraId="5D1311AD" w14:textId="77777777" w:rsidR="00B370B8" w:rsidRPr="00B370B8" w:rsidRDefault="00B370B8" w:rsidP="00B370B8"/>
        </w:tc>
        <w:tc>
          <w:tcPr>
            <w:tcW w:w="2626" w:type="dxa"/>
            <w:tcBorders>
              <w:top w:val="single" w:sz="4" w:space="0" w:color="000000"/>
              <w:left w:val="single" w:sz="4" w:space="0" w:color="000000"/>
              <w:bottom w:val="single" w:sz="4" w:space="0" w:color="000000"/>
              <w:right w:val="single" w:sz="4" w:space="0" w:color="000000"/>
            </w:tcBorders>
          </w:tcPr>
          <w:p w14:paraId="3F9A0D63" w14:textId="77777777" w:rsidR="00B370B8" w:rsidRPr="00B370B8" w:rsidRDefault="00B370B8" w:rsidP="00B370B8">
            <w:r w:rsidRPr="00B370B8">
              <w:t>Data Collection Report</w:t>
            </w:r>
          </w:p>
        </w:tc>
        <w:tc>
          <w:tcPr>
            <w:tcW w:w="2808" w:type="dxa"/>
            <w:tcBorders>
              <w:top w:val="single" w:sz="4" w:space="0" w:color="000000"/>
              <w:left w:val="single" w:sz="4" w:space="0" w:color="000000"/>
              <w:bottom w:val="single" w:sz="4" w:space="0" w:color="000000"/>
              <w:right w:val="single" w:sz="4" w:space="0" w:color="000000"/>
            </w:tcBorders>
          </w:tcPr>
          <w:p w14:paraId="14006C41" w14:textId="77777777" w:rsidR="00B370B8" w:rsidRPr="00B370B8" w:rsidRDefault="00B370B8" w:rsidP="00B370B8">
            <w:r w:rsidRPr="00B370B8">
              <w:t>Due Annually by June 1</w:t>
            </w:r>
          </w:p>
        </w:tc>
      </w:tr>
    </w:tbl>
    <w:p w14:paraId="02E5214D" w14:textId="77777777" w:rsidR="001740DF" w:rsidRDefault="001740DF" w:rsidP="001740DF">
      <w:bookmarkStart w:id="0" w:name="Section_7_–_Contacts"/>
      <w:bookmarkEnd w:id="0"/>
    </w:p>
    <w:sectPr w:rsidR="001740DF" w:rsidSect="001740DF">
      <w:footerReference w:type="default" r:id="rId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E0FE0" w14:textId="77777777" w:rsidR="001740DF" w:rsidRDefault="001740DF" w:rsidP="001740DF">
      <w:pPr>
        <w:spacing w:after="0" w:line="240" w:lineRule="auto"/>
      </w:pPr>
      <w:r>
        <w:separator/>
      </w:r>
    </w:p>
  </w:endnote>
  <w:endnote w:type="continuationSeparator" w:id="0">
    <w:p w14:paraId="103FD451" w14:textId="77777777" w:rsidR="001740DF" w:rsidRDefault="001740DF" w:rsidP="00174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914133"/>
      <w:docPartObj>
        <w:docPartGallery w:val="Page Numbers (Bottom of Page)"/>
        <w:docPartUnique/>
      </w:docPartObj>
    </w:sdtPr>
    <w:sdtEndPr>
      <w:rPr>
        <w:noProof/>
      </w:rPr>
    </w:sdtEndPr>
    <w:sdtContent>
      <w:p w14:paraId="61F8772C" w14:textId="7A519C8B" w:rsidR="001740DF" w:rsidRDefault="001740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0D8098" w14:textId="5122234A" w:rsidR="001740DF" w:rsidRDefault="00174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BF7BE" w14:textId="77777777" w:rsidR="001740DF" w:rsidRDefault="001740DF" w:rsidP="001740DF">
      <w:pPr>
        <w:spacing w:after="0" w:line="240" w:lineRule="auto"/>
      </w:pPr>
      <w:r>
        <w:separator/>
      </w:r>
    </w:p>
  </w:footnote>
  <w:footnote w:type="continuationSeparator" w:id="0">
    <w:p w14:paraId="7DB838FC" w14:textId="77777777" w:rsidR="001740DF" w:rsidRDefault="001740DF" w:rsidP="001740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0B8"/>
    <w:rsid w:val="001740DF"/>
    <w:rsid w:val="00255605"/>
    <w:rsid w:val="00B3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B34E"/>
  <w15:chartTrackingRefBased/>
  <w15:docId w15:val="{84E9E0A4-3A06-4F31-901B-CA2C566B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0DF"/>
  </w:style>
  <w:style w:type="paragraph" w:styleId="Footer">
    <w:name w:val="footer"/>
    <w:basedOn w:val="Normal"/>
    <w:link w:val="FooterChar"/>
    <w:uiPriority w:val="99"/>
    <w:unhideWhenUsed/>
    <w:rsid w:val="00174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4197">
      <w:bodyDiv w:val="1"/>
      <w:marLeft w:val="0"/>
      <w:marRight w:val="0"/>
      <w:marTop w:val="0"/>
      <w:marBottom w:val="0"/>
      <w:divBdr>
        <w:top w:val="none" w:sz="0" w:space="0" w:color="auto"/>
        <w:left w:val="none" w:sz="0" w:space="0" w:color="auto"/>
        <w:bottom w:val="none" w:sz="0" w:space="0" w:color="auto"/>
        <w:right w:val="none" w:sz="0" w:space="0" w:color="auto"/>
      </w:divBdr>
    </w:div>
    <w:div w:id="237710691">
      <w:bodyDiv w:val="1"/>
      <w:marLeft w:val="0"/>
      <w:marRight w:val="0"/>
      <w:marTop w:val="0"/>
      <w:marBottom w:val="0"/>
      <w:divBdr>
        <w:top w:val="none" w:sz="0" w:space="0" w:color="auto"/>
        <w:left w:val="none" w:sz="0" w:space="0" w:color="auto"/>
        <w:bottom w:val="none" w:sz="0" w:space="0" w:color="auto"/>
        <w:right w:val="none" w:sz="0" w:space="0" w:color="auto"/>
      </w:divBdr>
    </w:div>
    <w:div w:id="85061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Parker</dc:creator>
  <cp:keywords/>
  <dc:description/>
  <cp:lastModifiedBy>Annamarie J. Hendricks</cp:lastModifiedBy>
  <cp:revision>2</cp:revision>
  <dcterms:created xsi:type="dcterms:W3CDTF">2023-06-12T16:15:00Z</dcterms:created>
  <dcterms:modified xsi:type="dcterms:W3CDTF">2023-06-13T16:20:00Z</dcterms:modified>
</cp:coreProperties>
</file>