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228DB">
              <w:rPr>
                <w:rFonts w:cs="Arial"/>
                <w:b/>
                <w:sz w:val="20"/>
                <w:szCs w:val="20"/>
              </w:rPr>
            </w:r>
            <w:r w:rsidR="00F228D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F0A312E" w:rsidR="009A58CF" w:rsidRPr="004E6635" w:rsidRDefault="00F228DB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June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20</w:t>
            </w:r>
            <w:r w:rsidR="00401BE8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228DB">
              <w:rPr>
                <w:rFonts w:cs="Arial"/>
                <w:b/>
                <w:sz w:val="20"/>
                <w:szCs w:val="20"/>
              </w:rPr>
            </w:r>
            <w:r w:rsidR="00F228DB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D09024B" w:rsidR="00C8022D" w:rsidRPr="004E6635" w:rsidRDefault="005B3FD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Rural County Representatives of California (RCRC)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1635645A" w:rsidR="005B3FD1" w:rsidRPr="00401BE8" w:rsidRDefault="00F228DB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Approve letter to Assembly Member Bauer-Kahan in opposition of Assembly Bill (AB) 460</w:t>
            </w:r>
            <w:r w:rsidR="005B3FD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State Water Resources Control Board: water rights and usage: interim relief: procedures.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228DB">
              <w:rPr>
                <w:rFonts w:cs="Arial"/>
                <w:sz w:val="18"/>
                <w:szCs w:val="18"/>
              </w:rPr>
            </w:r>
            <w:r w:rsidR="00F228D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228DB">
              <w:rPr>
                <w:rFonts w:cs="Arial"/>
                <w:sz w:val="18"/>
                <w:szCs w:val="18"/>
              </w:rPr>
            </w:r>
            <w:r w:rsidR="00F228D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228DB">
              <w:rPr>
                <w:rFonts w:cs="Arial"/>
                <w:sz w:val="18"/>
                <w:szCs w:val="18"/>
              </w:rPr>
            </w:r>
            <w:r w:rsidR="00F228D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228DB">
              <w:rPr>
                <w:rFonts w:cs="Arial"/>
                <w:sz w:val="18"/>
                <w:szCs w:val="18"/>
              </w:rPr>
            </w:r>
            <w:r w:rsidR="00F228D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47F53EF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F228DB">
              <w:rPr>
                <w:rFonts w:cs="Arial"/>
              </w:rPr>
              <w:t>approves of the letter and authorizes the Chair to sign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12506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228DB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2</cp:revision>
  <cp:lastPrinted>2015-01-16T16:51:00Z</cp:lastPrinted>
  <dcterms:created xsi:type="dcterms:W3CDTF">2023-06-09T22:45:00Z</dcterms:created>
  <dcterms:modified xsi:type="dcterms:W3CDTF">2023-06-09T22:45:00Z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