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12" w:rsidRPr="00000665" w:rsidRDefault="00077D4B" w:rsidP="00077D4B">
      <w:pPr>
        <w:spacing w:before="840" w:after="720"/>
        <w:jc w:val="center"/>
        <w:rPr>
          <w:rFonts w:cs="Arial"/>
          <w:b/>
          <w:bCs/>
          <w:sz w:val="28"/>
          <w:szCs w:val="28"/>
        </w:rPr>
      </w:pPr>
      <w:bookmarkStart w:id="0" w:name="_GoBack"/>
      <w:bookmarkEnd w:id="0"/>
      <w:r>
        <w:rPr>
          <w:rFonts w:cs="Arial"/>
          <w:b/>
          <w:bCs/>
          <w:noProof/>
          <w:sz w:val="28"/>
          <w:szCs w:val="28"/>
        </w:rPr>
        <w:drawing>
          <wp:anchor distT="0" distB="0" distL="114300" distR="114300" simplePos="0" relativeHeight="251658240" behindDoc="0" locked="0" layoutInCell="1" allowOverlap="1" wp14:anchorId="09F1AAE5" wp14:editId="1735CA0B">
            <wp:simplePos x="0" y="0"/>
            <wp:positionH relativeFrom="column">
              <wp:posOffset>-304801</wp:posOffset>
            </wp:positionH>
            <wp:positionV relativeFrom="paragraph">
              <wp:posOffset>-1</wp:posOffset>
            </wp:positionV>
            <wp:extent cx="1038225" cy="1038225"/>
            <wp:effectExtent l="0" t="0" r="0" b="0"/>
            <wp:wrapNone/>
            <wp:docPr id="1" name="Picture 1" descr="Siskiyou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kiyou Co color seal-1 inch x 1 inch- no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70" cy="1038270"/>
                    </a:xfrm>
                    <a:prstGeom prst="rect">
                      <a:avLst/>
                    </a:prstGeom>
                  </pic:spPr>
                </pic:pic>
              </a:graphicData>
            </a:graphic>
            <wp14:sizeRelH relativeFrom="margin">
              <wp14:pctWidth>0</wp14:pctWidth>
            </wp14:sizeRelH>
            <wp14:sizeRelV relativeFrom="margin">
              <wp14:pctHeight>0</wp14:pctHeight>
            </wp14:sizeRelV>
          </wp:anchor>
        </w:drawing>
      </w:r>
      <w:r w:rsidR="005D7274" w:rsidRPr="00000665">
        <w:rPr>
          <w:b/>
          <w:bCs/>
          <w:sz w:val="28"/>
          <w:szCs w:val="28"/>
          <w:lang w:val="en-CA"/>
        </w:rPr>
        <w:fldChar w:fldCharType="begin"/>
      </w:r>
      <w:r w:rsidR="00D20812" w:rsidRPr="00000665">
        <w:rPr>
          <w:b/>
          <w:bCs/>
          <w:sz w:val="28"/>
          <w:szCs w:val="28"/>
          <w:lang w:val="en-CA"/>
        </w:rPr>
        <w:instrText xml:space="preserve"> SEQ CHAPTER \h \r 1</w:instrText>
      </w:r>
      <w:r w:rsidR="005D7274" w:rsidRPr="00000665">
        <w:rPr>
          <w:b/>
          <w:bCs/>
          <w:sz w:val="28"/>
          <w:szCs w:val="28"/>
          <w:lang w:val="en-CA"/>
        </w:rPr>
        <w:fldChar w:fldCharType="end"/>
      </w:r>
      <w:r w:rsidR="00000665" w:rsidRPr="00000665">
        <w:rPr>
          <w:rFonts w:cs="Arial"/>
          <w:b/>
          <w:bCs/>
          <w:sz w:val="28"/>
          <w:szCs w:val="28"/>
        </w:rPr>
        <w:t>Resolution No</w:t>
      </w:r>
      <w:r w:rsidR="00D20812" w:rsidRPr="00000665">
        <w:rPr>
          <w:rFonts w:cs="Arial"/>
          <w:b/>
          <w:bCs/>
          <w:sz w:val="28"/>
          <w:szCs w:val="28"/>
        </w:rPr>
        <w:t>.</w:t>
      </w:r>
      <w:sdt>
        <w:sdtPr>
          <w:rPr>
            <w:rFonts w:cs="Arial"/>
            <w:b/>
            <w:bCs/>
            <w:sz w:val="28"/>
            <w:szCs w:val="28"/>
          </w:rPr>
          <w:alias w:val="Resolution Number"/>
          <w:tag w:val="Resolution Number"/>
          <w:id w:val="-745570946"/>
          <w:placeholder>
            <w:docPart w:val="B5C1E848453344CC9B78608539D8D112"/>
          </w:placeholder>
        </w:sdtPr>
        <w:sdtEndPr/>
        <w:sdtContent>
          <w:r w:rsidR="00D20812" w:rsidRPr="00000665">
            <w:rPr>
              <w:rFonts w:cs="Arial"/>
              <w:b/>
              <w:bCs/>
              <w:sz w:val="28"/>
              <w:szCs w:val="28"/>
            </w:rPr>
            <w:t>____</w:t>
          </w:r>
        </w:sdtContent>
      </w:sdt>
    </w:p>
    <w:p w:rsidR="00D20812" w:rsidRDefault="00000665" w:rsidP="00000665">
      <w:pPr>
        <w:pStyle w:val="Heading2"/>
        <w:spacing w:after="360"/>
        <w:jc w:val="center"/>
      </w:pPr>
      <w:r>
        <w:t>Resolution of the Board of Supervisors</w:t>
      </w:r>
      <w:r w:rsidR="008E75B6">
        <w:t xml:space="preserve"> </w:t>
      </w:r>
      <w:r>
        <w:t xml:space="preserve">of </w:t>
      </w:r>
      <w:r w:rsidR="00605DF7">
        <w:t xml:space="preserve">the </w:t>
      </w:r>
      <w:r>
        <w:t>County of Siskiyou</w:t>
      </w:r>
      <w:r w:rsidR="00D20812">
        <w:t xml:space="preserve"> </w:t>
      </w:r>
      <w:sdt>
        <w:sdtPr>
          <w:alias w:val="What is Resolution Regarding?"/>
          <w:tag w:val="What is Resolution Regarding?"/>
          <w:id w:val="-1006906284"/>
          <w:placeholder>
            <w:docPart w:val="B5C1E848453344CC9B78608539D8D112"/>
          </w:placeholder>
        </w:sdtPr>
        <w:sdtEndPr/>
        <w:sdtContent>
          <w:r w:rsidR="00F34E1B">
            <w:t xml:space="preserve"> Establishing </w:t>
          </w:r>
          <w:r w:rsidR="00605DF7">
            <w:t>M</w:t>
          </w:r>
          <w:r w:rsidR="00F34E1B">
            <w:t xml:space="preserve">onth to </w:t>
          </w:r>
          <w:r w:rsidR="00605DF7">
            <w:t>M</w:t>
          </w:r>
          <w:r w:rsidR="00F34E1B">
            <w:t xml:space="preserve">onth Rental </w:t>
          </w:r>
          <w:r w:rsidR="00605DF7">
            <w:t>R</w:t>
          </w:r>
          <w:r w:rsidR="00F34E1B">
            <w:t xml:space="preserve">ates for Aeronautical &amp; Non- Aeronautical Assets at Siskiyou </w:t>
          </w:r>
          <w:r w:rsidR="00605DF7">
            <w:t>County Airports</w:t>
          </w:r>
          <w:r w:rsidR="00F34E1B">
            <w:t xml:space="preserve"> </w:t>
          </w:r>
        </w:sdtContent>
      </w:sdt>
    </w:p>
    <w:p w:rsidR="00D20812" w:rsidRDefault="00000665" w:rsidP="004D4708">
      <w:pPr>
        <w:spacing w:before="0" w:after="240"/>
      </w:pPr>
      <w:r w:rsidRPr="00000665">
        <w:rPr>
          <w:b/>
          <w:bCs/>
        </w:rPr>
        <w:t>Whereas</w:t>
      </w:r>
      <w:r w:rsidR="00D20812">
        <w:t>,</w:t>
      </w:r>
      <w:r>
        <w:t xml:space="preserve"> </w:t>
      </w:r>
      <w:sdt>
        <w:sdtPr>
          <w:id w:val="1224718955"/>
          <w:placeholder>
            <w:docPart w:val="B5C1E848453344CC9B78608539D8D112"/>
          </w:placeholder>
        </w:sdtPr>
        <w:sdtEndPr/>
        <w:sdtContent>
          <w:r w:rsidR="000507AD">
            <w:t>A comprehensive rate study of rural “</w:t>
          </w:r>
          <w:r w:rsidR="00515F49">
            <w:t>General Aviation Airports</w:t>
          </w:r>
          <w:r w:rsidR="000507AD">
            <w:t>” was conducted</w:t>
          </w:r>
          <w:r w:rsidR="005E34D0">
            <w:t xml:space="preserve"> for aeronautical and non-aeronautical assets</w:t>
          </w:r>
          <w:r w:rsidR="000507AD">
            <w:t xml:space="preserve">.  </w:t>
          </w:r>
        </w:sdtContent>
      </w:sdt>
    </w:p>
    <w:p w:rsidR="004D5DD2" w:rsidRDefault="000507AD" w:rsidP="004D4708">
      <w:pPr>
        <w:spacing w:before="0" w:after="240"/>
      </w:pPr>
      <w:r w:rsidRPr="000507AD">
        <w:rPr>
          <w:b/>
        </w:rPr>
        <w:t>Whereas</w:t>
      </w:r>
      <w:r>
        <w:t xml:space="preserve">, </w:t>
      </w:r>
      <w:r w:rsidR="001D0A9D">
        <w:t>t</w:t>
      </w:r>
      <w:r w:rsidR="005E34D0">
        <w:t xml:space="preserve">he following </w:t>
      </w:r>
      <w:r w:rsidR="001D0A9D">
        <w:t xml:space="preserve">aeronautical </w:t>
      </w:r>
      <w:r w:rsidR="005E34D0">
        <w:t xml:space="preserve">categories were studied; </w:t>
      </w:r>
      <w:r w:rsidR="00DB2A36">
        <w:t>Box h</w:t>
      </w:r>
      <w:r w:rsidR="001D0A9D">
        <w:t>ang</w:t>
      </w:r>
      <w:r w:rsidR="004D5DD2">
        <w:t>a</w:t>
      </w:r>
      <w:r w:rsidR="001D0A9D">
        <w:t xml:space="preserve">r, </w:t>
      </w:r>
      <w:r w:rsidR="00DB2A36">
        <w:t>Open face hang</w:t>
      </w:r>
      <w:r w:rsidR="004D5DD2">
        <w:t>a</w:t>
      </w:r>
      <w:r w:rsidR="00DB2A36">
        <w:t xml:space="preserve">r, </w:t>
      </w:r>
      <w:r w:rsidR="004D5DD2">
        <w:t>“Nested”</w:t>
      </w:r>
      <w:r w:rsidR="00DB2A36">
        <w:t xml:space="preserve"> </w:t>
      </w:r>
      <w:r w:rsidR="004D5DD2">
        <w:t xml:space="preserve">multiple aircraft hangar (individual </w:t>
      </w:r>
      <w:r w:rsidR="001D0A9D">
        <w:t>space</w:t>
      </w:r>
      <w:r w:rsidR="004D5DD2">
        <w:t>), Land / Ground lease</w:t>
      </w:r>
      <w:r w:rsidR="00483C6F">
        <w:t xml:space="preserve"> as set forth in Exhibit “A” </w:t>
      </w:r>
    </w:p>
    <w:p w:rsidR="00AD5964" w:rsidRDefault="004D5DD2" w:rsidP="004D4708">
      <w:pPr>
        <w:spacing w:before="0" w:after="240"/>
        <w:rPr>
          <w:bCs/>
        </w:rPr>
      </w:pPr>
      <w:r w:rsidRPr="004D5DD2">
        <w:rPr>
          <w:b/>
        </w:rPr>
        <w:t xml:space="preserve">Whereas, </w:t>
      </w:r>
      <w:r w:rsidRPr="004D5DD2">
        <w:t>the</w:t>
      </w:r>
      <w:r>
        <w:rPr>
          <w:b/>
        </w:rPr>
        <w:t xml:space="preserve"> </w:t>
      </w:r>
      <w:r w:rsidRPr="004D5DD2">
        <w:t>following non</w:t>
      </w:r>
      <w:r w:rsidRPr="004D5DD2">
        <w:rPr>
          <w:bCs/>
        </w:rPr>
        <w:t>-aeronautical categories were studied;</w:t>
      </w:r>
      <w:r w:rsidR="005E34D0" w:rsidRPr="003B5952">
        <w:rPr>
          <w:bCs/>
        </w:rPr>
        <w:t xml:space="preserve"> </w:t>
      </w:r>
      <w:r w:rsidR="003B5952" w:rsidRPr="003B5952">
        <w:rPr>
          <w:bCs/>
        </w:rPr>
        <w:t>Agricultural</w:t>
      </w:r>
      <w:r w:rsidR="005F58D6">
        <w:rPr>
          <w:bCs/>
        </w:rPr>
        <w:t>,</w:t>
      </w:r>
      <w:r w:rsidR="003B5952">
        <w:rPr>
          <w:bCs/>
        </w:rPr>
        <w:t xml:space="preserve"> </w:t>
      </w:r>
      <w:r w:rsidR="00853C75">
        <w:rPr>
          <w:bCs/>
        </w:rPr>
        <w:t>U</w:t>
      </w:r>
      <w:r w:rsidR="00AD5964">
        <w:rPr>
          <w:bCs/>
        </w:rPr>
        <w:t xml:space="preserve">ndeveloped land, </w:t>
      </w:r>
      <w:r w:rsidR="00853C75">
        <w:rPr>
          <w:bCs/>
        </w:rPr>
        <w:t>B</w:t>
      </w:r>
      <w:r w:rsidR="003B5952">
        <w:rPr>
          <w:bCs/>
        </w:rPr>
        <w:t>unker</w:t>
      </w:r>
      <w:r w:rsidR="00AD5964">
        <w:rPr>
          <w:bCs/>
        </w:rPr>
        <w:t xml:space="preserve"> and </w:t>
      </w:r>
      <w:r w:rsidR="00853C75">
        <w:rPr>
          <w:bCs/>
        </w:rPr>
        <w:t>B</w:t>
      </w:r>
      <w:r w:rsidR="005F58D6">
        <w:rPr>
          <w:bCs/>
        </w:rPr>
        <w:t>uilding</w:t>
      </w:r>
      <w:r w:rsidR="00483C6F">
        <w:rPr>
          <w:bCs/>
        </w:rPr>
        <w:t xml:space="preserve"> as set forth in Exhibit “B”</w:t>
      </w:r>
    </w:p>
    <w:p w:rsidR="0026402E" w:rsidRDefault="00AD5964" w:rsidP="004D4708">
      <w:pPr>
        <w:spacing w:before="0" w:after="240"/>
        <w:rPr>
          <w:bCs/>
        </w:rPr>
      </w:pPr>
      <w:r w:rsidRPr="00AD5964">
        <w:rPr>
          <w:b/>
          <w:bCs/>
        </w:rPr>
        <w:t>Whereas,</w:t>
      </w:r>
      <w:r>
        <w:rPr>
          <w:bCs/>
        </w:rPr>
        <w:t xml:space="preserve"> rates will be calculated per square foot </w:t>
      </w:r>
      <w:r w:rsidR="00853C75" w:rsidRPr="00321C5D">
        <w:rPr>
          <w:bCs/>
          <w:sz w:val="16"/>
          <w:szCs w:val="16"/>
        </w:rPr>
        <w:t>x</w:t>
      </w:r>
      <w:r w:rsidRPr="00321C5D">
        <w:rPr>
          <w:bCs/>
        </w:rPr>
        <w:t xml:space="preserve"> </w:t>
      </w:r>
      <w:r>
        <w:rPr>
          <w:bCs/>
        </w:rPr>
        <w:t xml:space="preserve">amount </w:t>
      </w:r>
      <w:r w:rsidR="0026402E">
        <w:rPr>
          <w:bCs/>
        </w:rPr>
        <w:t>= Annual Sum ÷</w:t>
      </w:r>
      <w:r w:rsidR="00794012">
        <w:rPr>
          <w:bCs/>
        </w:rPr>
        <w:t xml:space="preserve">12 months. </w:t>
      </w:r>
    </w:p>
    <w:p w:rsidR="00B0213A" w:rsidRPr="00B0213A" w:rsidRDefault="00321C5D" w:rsidP="00321C5D">
      <w:pPr>
        <w:rPr>
          <w:bCs/>
        </w:rPr>
      </w:pPr>
      <w:r w:rsidRPr="00B0213A">
        <w:rPr>
          <w:b/>
          <w:bCs/>
        </w:rPr>
        <w:t xml:space="preserve">Whereas, </w:t>
      </w:r>
      <w:r>
        <w:rPr>
          <w:bCs/>
        </w:rPr>
        <w:t>On</w:t>
      </w:r>
      <w:r w:rsidRPr="00321C5D">
        <w:t xml:space="preserve"> the first anniversary of the Commencement Date, and each anniversary thereafter, the Base Rent shall be increased by the current County Adjustment Factor.</w:t>
      </w:r>
      <w:r>
        <w:t xml:space="preserve"> This will determine the new “Base Rent” for the new year. </w:t>
      </w:r>
      <w:r w:rsidRPr="00321C5D">
        <w:t>The County "Adjustment Factor" shall be a percentage calculated as follows: Beginning January 1, 202</w:t>
      </w:r>
      <w:r w:rsidR="005352B8">
        <w:t>3</w:t>
      </w:r>
      <w:r w:rsidRPr="00321C5D">
        <w:t xml:space="preserve">, and every </w:t>
      </w:r>
      <w:r w:rsidR="005352B8">
        <w:t>three</w:t>
      </w:r>
      <w:r w:rsidRPr="00321C5D">
        <w:t xml:space="preserve"> (</w:t>
      </w:r>
      <w:r w:rsidR="005352B8">
        <w:t>3</w:t>
      </w:r>
      <w:r w:rsidRPr="00321C5D">
        <w:t xml:space="preserve">) year period thereafter, the annual rent increase shall be determined by calculating the average annual California Consumer Price Index for all areas and all consumers as reported by the State of California, Department of Industrial Relations ("CPI"), for the preceding </w:t>
      </w:r>
      <w:r w:rsidR="005352B8">
        <w:t>three</w:t>
      </w:r>
      <w:r w:rsidRPr="00321C5D">
        <w:t xml:space="preserve"> (</w:t>
      </w:r>
      <w:r w:rsidR="005352B8">
        <w:t>3</w:t>
      </w:r>
      <w:r w:rsidRPr="00321C5D">
        <w:t xml:space="preserve">) years, with the resulting adjusted CPI applied for that year and the </w:t>
      </w:r>
      <w:r w:rsidR="005352B8">
        <w:t>two</w:t>
      </w:r>
      <w:r w:rsidRPr="00321C5D">
        <w:t xml:space="preserve"> (</w:t>
      </w:r>
      <w:r w:rsidR="005352B8">
        <w:t>2</w:t>
      </w:r>
      <w:r w:rsidRPr="00321C5D">
        <w:t xml:space="preserve">) years that follow. </w:t>
      </w:r>
      <w:r w:rsidR="00D34ECB">
        <w:t>H</w:t>
      </w:r>
      <w:r w:rsidRPr="00321C5D">
        <w:t xml:space="preserve">owever, the Adjustment Factor shall not be less than one percent (1%) nor more than </w:t>
      </w:r>
      <w:r w:rsidR="0067521D">
        <w:t>six</w:t>
      </w:r>
      <w:r w:rsidRPr="00321C5D">
        <w:t xml:space="preserve"> percent (</w:t>
      </w:r>
      <w:r w:rsidR="005352B8">
        <w:t>6</w:t>
      </w:r>
      <w:r w:rsidRPr="00321C5D">
        <w:t>%).</w:t>
      </w:r>
      <w:r>
        <w:t xml:space="preserve"> </w:t>
      </w:r>
      <w:r w:rsidR="00483C6F">
        <w:rPr>
          <w:bCs/>
        </w:rPr>
        <w:t xml:space="preserve">The rental amount rate schedule for </w:t>
      </w:r>
      <w:r w:rsidR="00107230">
        <w:rPr>
          <w:bCs/>
        </w:rPr>
        <w:t>this is through December 31</w:t>
      </w:r>
      <w:r w:rsidR="00107230" w:rsidRPr="00107230">
        <w:rPr>
          <w:bCs/>
          <w:vertAlign w:val="superscript"/>
        </w:rPr>
        <w:t>st</w:t>
      </w:r>
      <w:r w:rsidR="00107230">
        <w:rPr>
          <w:bCs/>
        </w:rPr>
        <w:t xml:space="preserve"> of the year preceding the next Adjustment Factor calculation date set forth in Exhibit “</w:t>
      </w:r>
      <w:r w:rsidR="006F33BE">
        <w:rPr>
          <w:bCs/>
        </w:rPr>
        <w:t>A &amp; B</w:t>
      </w:r>
      <w:r w:rsidR="00107230">
        <w:rPr>
          <w:bCs/>
        </w:rPr>
        <w:t>”</w:t>
      </w:r>
      <w:r w:rsidR="00C55D71">
        <w:rPr>
          <w:bCs/>
        </w:rPr>
        <w:t>.</w:t>
      </w:r>
      <w:r w:rsidR="00B0213A">
        <w:rPr>
          <w:bCs/>
        </w:rPr>
        <w:t xml:space="preserve"> </w:t>
      </w:r>
    </w:p>
    <w:p w:rsidR="00E816E8" w:rsidRDefault="0026402E" w:rsidP="004D4708">
      <w:pPr>
        <w:spacing w:before="0" w:after="240"/>
        <w:rPr>
          <w:bCs/>
        </w:rPr>
      </w:pPr>
      <w:r w:rsidRPr="0026402E">
        <w:rPr>
          <w:b/>
          <w:bCs/>
        </w:rPr>
        <w:t>Whereas</w:t>
      </w:r>
      <w:r>
        <w:rPr>
          <w:bCs/>
        </w:rPr>
        <w:t xml:space="preserve">, </w:t>
      </w:r>
      <w:r w:rsidR="004E06FC">
        <w:rPr>
          <w:bCs/>
        </w:rPr>
        <w:t xml:space="preserve">the base rent / lease rate will </w:t>
      </w:r>
      <w:r w:rsidR="00C508B5">
        <w:rPr>
          <w:bCs/>
        </w:rPr>
        <w:t xml:space="preserve">increase each calendar year based off the current </w:t>
      </w:r>
      <w:r w:rsidR="00C0634A">
        <w:rPr>
          <w:bCs/>
        </w:rPr>
        <w:t>County Adjustment Factor (CAF)</w:t>
      </w:r>
      <w:r w:rsidR="00C508B5">
        <w:rPr>
          <w:bCs/>
        </w:rPr>
        <w:t>.</w:t>
      </w:r>
      <w:r w:rsidR="004E06FC">
        <w:rPr>
          <w:bCs/>
        </w:rPr>
        <w:t xml:space="preserve"> </w:t>
      </w:r>
      <w:r w:rsidR="00D34ECB">
        <w:rPr>
          <w:bCs/>
        </w:rPr>
        <w:t>This will establish the new base rent</w:t>
      </w:r>
      <w:r w:rsidR="00C0634A">
        <w:rPr>
          <w:bCs/>
        </w:rPr>
        <w:t xml:space="preserve"> </w:t>
      </w:r>
      <w:r w:rsidR="00570BE1">
        <w:rPr>
          <w:bCs/>
        </w:rPr>
        <w:t xml:space="preserve">/ base </w:t>
      </w:r>
      <w:r w:rsidR="00C0634A">
        <w:rPr>
          <w:bCs/>
        </w:rPr>
        <w:t xml:space="preserve">lease rate for the new year. </w:t>
      </w:r>
    </w:p>
    <w:p w:rsidR="000507AD" w:rsidRPr="00E816E8" w:rsidRDefault="00E816E8" w:rsidP="004D4708">
      <w:pPr>
        <w:spacing w:before="0" w:after="240"/>
        <w:rPr>
          <w:b/>
          <w:bCs/>
        </w:rPr>
      </w:pPr>
      <w:r w:rsidRPr="00E816E8">
        <w:rPr>
          <w:b/>
          <w:bCs/>
        </w:rPr>
        <w:t>Whereas,</w:t>
      </w:r>
      <w:r w:rsidR="004E06FC" w:rsidRPr="00E816E8">
        <w:rPr>
          <w:b/>
          <w:bCs/>
        </w:rPr>
        <w:t xml:space="preserve"> </w:t>
      </w:r>
      <w:r w:rsidRPr="00E816E8">
        <w:rPr>
          <w:bCs/>
        </w:rPr>
        <w:t>bunker agreements</w:t>
      </w:r>
      <w:r>
        <w:rPr>
          <w:bCs/>
        </w:rPr>
        <w:t xml:space="preserve"> </w:t>
      </w:r>
      <w:r w:rsidR="00C0634A">
        <w:rPr>
          <w:bCs/>
        </w:rPr>
        <w:t xml:space="preserve">and undeveloped land agreements </w:t>
      </w:r>
      <w:r w:rsidR="00515F49">
        <w:rPr>
          <w:bCs/>
        </w:rPr>
        <w:t xml:space="preserve">are based off the FAA rule “Fair </w:t>
      </w:r>
      <w:r w:rsidR="00AA6219">
        <w:rPr>
          <w:bCs/>
        </w:rPr>
        <w:t>M</w:t>
      </w:r>
      <w:r w:rsidR="00515F49">
        <w:rPr>
          <w:bCs/>
        </w:rPr>
        <w:t>arket Value”</w:t>
      </w:r>
      <w:r>
        <w:rPr>
          <w:bCs/>
        </w:rPr>
        <w:t xml:space="preserve"> approval authority is given to the Director of General Services based off the recommendation of the Airport Manager.   </w:t>
      </w:r>
      <w:r>
        <w:rPr>
          <w:b/>
          <w:bCs/>
        </w:rPr>
        <w:t xml:space="preserve"> </w:t>
      </w:r>
      <w:r w:rsidR="004E06FC" w:rsidRPr="00E816E8">
        <w:rPr>
          <w:b/>
          <w:bCs/>
        </w:rPr>
        <w:t xml:space="preserve"> </w:t>
      </w:r>
      <w:r w:rsidR="00B0213A" w:rsidRPr="00E816E8">
        <w:rPr>
          <w:b/>
          <w:bCs/>
        </w:rPr>
        <w:t xml:space="preserve">  </w:t>
      </w:r>
      <w:r w:rsidR="0026402E" w:rsidRPr="00E816E8">
        <w:rPr>
          <w:b/>
          <w:bCs/>
        </w:rPr>
        <w:t xml:space="preserve"> </w:t>
      </w:r>
      <w:r w:rsidR="005F58D6" w:rsidRPr="00E816E8">
        <w:rPr>
          <w:b/>
          <w:bCs/>
        </w:rPr>
        <w:t xml:space="preserve"> </w:t>
      </w:r>
      <w:r w:rsidR="00F03D17" w:rsidRPr="00E816E8">
        <w:rPr>
          <w:b/>
          <w:bCs/>
        </w:rPr>
        <w:t xml:space="preserve"> </w:t>
      </w:r>
      <w:r w:rsidR="003B5952" w:rsidRPr="00E816E8">
        <w:rPr>
          <w:b/>
          <w:bCs/>
        </w:rPr>
        <w:t xml:space="preserve">  </w:t>
      </w:r>
    </w:p>
    <w:p w:rsidR="00D20812" w:rsidRDefault="00000665" w:rsidP="004D4708">
      <w:pPr>
        <w:spacing w:before="0" w:after="240"/>
        <w:rPr>
          <w:rFonts w:cs="Arial"/>
        </w:rPr>
      </w:pPr>
      <w:r w:rsidRPr="00000665">
        <w:rPr>
          <w:b/>
          <w:bCs/>
        </w:rPr>
        <w:t xml:space="preserve">Now, </w:t>
      </w:r>
      <w:r w:rsidR="00B62861">
        <w:rPr>
          <w:b/>
          <w:bCs/>
        </w:rPr>
        <w:t>T</w:t>
      </w:r>
      <w:r w:rsidRPr="00000665">
        <w:rPr>
          <w:b/>
          <w:bCs/>
        </w:rPr>
        <w:t>her</w:t>
      </w:r>
      <w:r w:rsidRPr="00000665">
        <w:rPr>
          <w:rFonts w:cs="Arial"/>
          <w:b/>
          <w:bCs/>
        </w:rPr>
        <w:t xml:space="preserve">efore, </w:t>
      </w:r>
      <w:r w:rsidR="00B62861">
        <w:rPr>
          <w:rFonts w:cs="Arial"/>
          <w:b/>
          <w:bCs/>
        </w:rPr>
        <w:t>B</w:t>
      </w:r>
      <w:r w:rsidRPr="00000665">
        <w:rPr>
          <w:rFonts w:cs="Arial"/>
          <w:b/>
          <w:bCs/>
        </w:rPr>
        <w:t xml:space="preserve">e </w:t>
      </w:r>
      <w:r w:rsidR="00B62861">
        <w:rPr>
          <w:rFonts w:cs="Arial"/>
          <w:b/>
          <w:bCs/>
        </w:rPr>
        <w:t>I</w:t>
      </w:r>
      <w:r w:rsidRPr="00000665">
        <w:rPr>
          <w:rFonts w:cs="Arial"/>
          <w:b/>
          <w:bCs/>
        </w:rPr>
        <w:t>t Resolved</w:t>
      </w:r>
      <w:r w:rsidR="008A41F3">
        <w:rPr>
          <w:rFonts w:cs="Arial"/>
          <w:b/>
          <w:bCs/>
        </w:rPr>
        <w:t xml:space="preserve">, </w:t>
      </w:r>
      <w:r w:rsidR="008A41F3" w:rsidRPr="008A41F3">
        <w:rPr>
          <w:rFonts w:cs="Arial"/>
          <w:bCs/>
        </w:rPr>
        <w:t>Siskiyou County Airports ha</w:t>
      </w:r>
      <w:r w:rsidR="00AC219C">
        <w:rPr>
          <w:rFonts w:cs="Arial"/>
          <w:bCs/>
        </w:rPr>
        <w:t>s</w:t>
      </w:r>
      <w:r w:rsidR="008A41F3" w:rsidRPr="008A41F3">
        <w:rPr>
          <w:rFonts w:cs="Arial"/>
          <w:bCs/>
        </w:rPr>
        <w:t xml:space="preserve"> established </w:t>
      </w:r>
      <w:r w:rsidR="008A41F3">
        <w:rPr>
          <w:rFonts w:cs="Arial"/>
          <w:bCs/>
        </w:rPr>
        <w:t xml:space="preserve">and set forth </w:t>
      </w:r>
      <w:r w:rsidR="008A41F3" w:rsidRPr="008A41F3">
        <w:rPr>
          <w:rFonts w:cs="Arial"/>
          <w:bCs/>
        </w:rPr>
        <w:t xml:space="preserve">the </w:t>
      </w:r>
      <w:r w:rsidR="008A41F3">
        <w:rPr>
          <w:rFonts w:cs="Arial"/>
          <w:bCs/>
        </w:rPr>
        <w:t xml:space="preserve">base line and lease rates </w:t>
      </w:r>
      <w:r w:rsidR="00AC219C">
        <w:rPr>
          <w:rFonts w:cs="Arial"/>
          <w:bCs/>
        </w:rPr>
        <w:t xml:space="preserve">to be </w:t>
      </w:r>
      <w:r w:rsidR="008A41F3">
        <w:rPr>
          <w:rFonts w:cs="Arial"/>
          <w:bCs/>
        </w:rPr>
        <w:t>Effective May 1</w:t>
      </w:r>
      <w:r w:rsidR="00515F49">
        <w:rPr>
          <w:rFonts w:cs="Arial"/>
          <w:bCs/>
        </w:rPr>
        <w:t>6</w:t>
      </w:r>
      <w:r w:rsidR="00515F49" w:rsidRPr="00515F49">
        <w:rPr>
          <w:rFonts w:cs="Arial"/>
          <w:bCs/>
          <w:vertAlign w:val="superscript"/>
        </w:rPr>
        <w:t>th</w:t>
      </w:r>
      <w:r w:rsidR="00515F49">
        <w:rPr>
          <w:rFonts w:cs="Arial"/>
          <w:bCs/>
        </w:rPr>
        <w:t>,</w:t>
      </w:r>
      <w:r w:rsidR="008A41F3">
        <w:rPr>
          <w:rFonts w:cs="Arial"/>
          <w:bCs/>
        </w:rPr>
        <w:t xml:space="preserve"> 2023.</w:t>
      </w:r>
    </w:p>
    <w:p w:rsidR="00D20812" w:rsidRDefault="00B62861" w:rsidP="004D4708">
      <w:pPr>
        <w:spacing w:before="0" w:after="240"/>
        <w:rPr>
          <w:rFonts w:cs="Arial"/>
        </w:rPr>
      </w:pPr>
      <w:r w:rsidRPr="00B62861">
        <w:rPr>
          <w:rFonts w:cs="Arial"/>
          <w:b/>
          <w:bCs/>
        </w:rPr>
        <w:lastRenderedPageBreak/>
        <w:t>Be It Further Resolved</w:t>
      </w:r>
      <w:r w:rsidR="00D20812">
        <w:rPr>
          <w:rFonts w:cs="Arial"/>
        </w:rPr>
        <w:t>.</w:t>
      </w:r>
      <w:r w:rsidR="008A41F3">
        <w:rPr>
          <w:rFonts w:cs="Arial"/>
        </w:rPr>
        <w:t xml:space="preserve"> </w:t>
      </w:r>
      <w:sdt>
        <w:sdtPr>
          <w:rPr>
            <w:rFonts w:cs="Arial"/>
          </w:rPr>
          <w:id w:val="-610128564"/>
          <w:placeholder>
            <w:docPart w:val="B5C1E848453344CC9B78608539D8D112"/>
          </w:placeholder>
        </w:sdtPr>
        <w:sdtEndPr/>
        <w:sdtContent>
          <w:r w:rsidR="008A41F3">
            <w:rPr>
              <w:rFonts w:cs="Arial"/>
            </w:rPr>
            <w:t xml:space="preserve">Siskiyou County Airports will incorporate the new base line rates </w:t>
          </w:r>
          <w:r w:rsidR="00E816E8">
            <w:rPr>
              <w:rFonts w:cs="Arial"/>
            </w:rPr>
            <w:t xml:space="preserve">as of the effective date </w:t>
          </w:r>
          <w:r w:rsidR="006F33BE">
            <w:rPr>
              <w:rFonts w:cs="Arial"/>
            </w:rPr>
            <w:t xml:space="preserve">of this resolution </w:t>
          </w:r>
          <w:r w:rsidR="008A41F3">
            <w:rPr>
              <w:rFonts w:cs="Arial"/>
            </w:rPr>
            <w:t xml:space="preserve">and the new lease rates </w:t>
          </w:r>
          <w:r w:rsidR="00AC219C">
            <w:rPr>
              <w:rFonts w:cs="Arial"/>
            </w:rPr>
            <w:t>will be implemented as lease’s are renewed.</w:t>
          </w:r>
          <w:r w:rsidR="008A41F3">
            <w:rPr>
              <w:rFonts w:cs="Arial"/>
            </w:rPr>
            <w:t xml:space="preserve">   </w:t>
          </w:r>
        </w:sdtContent>
      </w:sdt>
    </w:p>
    <w:p w:rsidR="00D20812" w:rsidRDefault="00B62861" w:rsidP="004D4708">
      <w:pPr>
        <w:spacing w:before="0" w:after="240"/>
        <w:rPr>
          <w:rFonts w:cs="Arial"/>
        </w:rPr>
      </w:pPr>
      <w:r w:rsidRPr="00B62861">
        <w:rPr>
          <w:rFonts w:cs="Arial"/>
          <w:b/>
          <w:bCs/>
        </w:rPr>
        <w:t xml:space="preserve">Passed </w:t>
      </w:r>
      <w:r w:rsidR="004A115A">
        <w:rPr>
          <w:rFonts w:cs="Arial"/>
          <w:b/>
          <w:bCs/>
        </w:rPr>
        <w:t>a</w:t>
      </w:r>
      <w:r w:rsidRPr="00B62861">
        <w:rPr>
          <w:rFonts w:cs="Arial"/>
          <w:b/>
          <w:bCs/>
        </w:rPr>
        <w:t>nd Adopted</w:t>
      </w:r>
      <w:r w:rsidR="00D20812">
        <w:rPr>
          <w:rFonts w:cs="Arial"/>
        </w:rPr>
        <w:t xml:space="preserve"> by the Siskiyou County Board of Supervisors at a regular meeting of said Board, held on the </w:t>
      </w:r>
      <w:r w:rsidR="00515F49">
        <w:rPr>
          <w:rFonts w:cs="Arial"/>
        </w:rPr>
        <w:t>16th</w:t>
      </w:r>
      <w:r w:rsidR="00E816E8">
        <w:rPr>
          <w:rFonts w:cs="Arial"/>
        </w:rPr>
        <w:t xml:space="preserve"> </w:t>
      </w:r>
      <w:r w:rsidR="00D20812">
        <w:rPr>
          <w:rFonts w:cs="Arial"/>
        </w:rPr>
        <w:t>day of</w:t>
      </w:r>
      <w:r w:rsidR="004D4708">
        <w:rPr>
          <w:rFonts w:cs="Arial"/>
        </w:rPr>
        <w:t xml:space="preserve"> </w:t>
      </w:r>
      <w:sdt>
        <w:sdtPr>
          <w:rPr>
            <w:rFonts w:cs="Arial"/>
          </w:rPr>
          <w:alias w:val="Month, Year"/>
          <w:tag w:val="Month, Year"/>
          <w:id w:val="-63953744"/>
          <w:placeholder>
            <w:docPart w:val="B5C1E848453344CC9B78608539D8D112"/>
          </w:placeholder>
        </w:sdtPr>
        <w:sdtEndPr/>
        <w:sdtContent>
          <w:r w:rsidR="00E816E8">
            <w:rPr>
              <w:rFonts w:cs="Arial"/>
            </w:rPr>
            <w:t>May, 2023</w:t>
          </w:r>
        </w:sdtContent>
      </w:sdt>
      <w:r w:rsidR="00D20812">
        <w:rPr>
          <w:rFonts w:cs="Arial"/>
        </w:rPr>
        <w:t xml:space="preserve"> by the following vote:</w:t>
      </w:r>
    </w:p>
    <w:p w:rsidR="00D20812" w:rsidRDefault="00D20812" w:rsidP="00077D4B">
      <w:pPr>
        <w:tabs>
          <w:tab w:val="left" w:pos="1170"/>
        </w:tabs>
        <w:rPr>
          <w:rFonts w:cs="Arial"/>
        </w:rPr>
      </w:pPr>
      <w:r>
        <w:rPr>
          <w:rFonts w:cs="Arial"/>
        </w:rPr>
        <w:t>AYES:</w:t>
      </w:r>
    </w:p>
    <w:p w:rsidR="00D20812" w:rsidRDefault="00D20812" w:rsidP="00077D4B">
      <w:pPr>
        <w:tabs>
          <w:tab w:val="left" w:pos="1170"/>
        </w:tabs>
        <w:rPr>
          <w:rFonts w:cs="Arial"/>
        </w:rPr>
      </w:pPr>
      <w:r>
        <w:rPr>
          <w:rFonts w:cs="Arial"/>
        </w:rPr>
        <w:t>NOES:</w:t>
      </w:r>
    </w:p>
    <w:p w:rsidR="00D20812" w:rsidRDefault="00D20812" w:rsidP="00077D4B">
      <w:pPr>
        <w:tabs>
          <w:tab w:val="left" w:pos="1170"/>
        </w:tabs>
        <w:rPr>
          <w:rFonts w:cs="Arial"/>
        </w:rPr>
      </w:pPr>
      <w:r>
        <w:rPr>
          <w:rFonts w:cs="Arial"/>
        </w:rPr>
        <w:t>ABSENT:</w:t>
      </w:r>
    </w:p>
    <w:p w:rsidR="00D20812" w:rsidRDefault="00D20812" w:rsidP="00077D4B">
      <w:pPr>
        <w:tabs>
          <w:tab w:val="left" w:pos="1170"/>
        </w:tabs>
        <w:spacing w:after="360"/>
        <w:rPr>
          <w:rFonts w:cs="Arial"/>
        </w:rPr>
      </w:pPr>
      <w:r>
        <w:rPr>
          <w:rFonts w:cs="Arial"/>
        </w:rPr>
        <w:t>ABSTAIN:</w:t>
      </w:r>
    </w:p>
    <w:p w:rsidR="00485D12" w:rsidRDefault="00D20812" w:rsidP="00297CB5">
      <w:pPr>
        <w:pStyle w:val="NoSpacing"/>
        <w:tabs>
          <w:tab w:val="left" w:pos="3150"/>
        </w:tabs>
      </w:pPr>
      <w:r>
        <w:tab/>
      </w:r>
      <w:r w:rsidR="008E75B6">
        <w:t>________________________________________</w:t>
      </w:r>
    </w:p>
    <w:p w:rsidR="00485D12" w:rsidRDefault="0077136B" w:rsidP="00297CB5">
      <w:pPr>
        <w:pStyle w:val="NoSpacing"/>
        <w:tabs>
          <w:tab w:val="left" w:pos="3150"/>
        </w:tabs>
        <w:rPr>
          <w:rFonts w:cs="Arial"/>
        </w:rPr>
      </w:pPr>
      <w:r>
        <w:rPr>
          <w:rFonts w:cs="Arial"/>
        </w:rPr>
        <w:tab/>
      </w:r>
      <w:r w:rsidR="00605DF7">
        <w:rPr>
          <w:rFonts w:cs="Arial"/>
        </w:rPr>
        <w:t>Ed Valenzuela</w:t>
      </w:r>
      <w:r w:rsidR="00D20812">
        <w:rPr>
          <w:rFonts w:cs="Arial"/>
        </w:rPr>
        <w:t>,</w:t>
      </w:r>
      <w:r w:rsidR="006A407A">
        <w:rPr>
          <w:rFonts w:cs="Arial"/>
        </w:rPr>
        <w:t xml:space="preserve"> Chair</w:t>
      </w:r>
    </w:p>
    <w:p w:rsidR="00605DF7" w:rsidRDefault="00D20812" w:rsidP="00297CB5">
      <w:pPr>
        <w:pStyle w:val="NoSpacing"/>
        <w:tabs>
          <w:tab w:val="left" w:pos="3150"/>
        </w:tabs>
        <w:rPr>
          <w:rFonts w:cs="Arial"/>
          <w:b/>
          <w:bCs/>
        </w:rPr>
      </w:pPr>
      <w:r w:rsidRPr="004A115A">
        <w:rPr>
          <w:rFonts w:cs="Arial"/>
          <w:b/>
          <w:bCs/>
        </w:rPr>
        <w:tab/>
      </w:r>
      <w:r w:rsidR="00605DF7" w:rsidRPr="00605DF7">
        <w:rPr>
          <w:rFonts w:cs="Arial"/>
          <w:bCs/>
        </w:rPr>
        <w:t xml:space="preserve">Board </w:t>
      </w:r>
      <w:r w:rsidR="00605DF7">
        <w:rPr>
          <w:rFonts w:cs="Arial"/>
          <w:bCs/>
        </w:rPr>
        <w:t>o</w:t>
      </w:r>
      <w:r w:rsidR="00605DF7" w:rsidRPr="00605DF7">
        <w:rPr>
          <w:rFonts w:cs="Arial"/>
          <w:bCs/>
        </w:rPr>
        <w:t>f</w:t>
      </w:r>
      <w:r w:rsidR="00605DF7">
        <w:rPr>
          <w:rFonts w:cs="Arial"/>
          <w:b/>
          <w:bCs/>
        </w:rPr>
        <w:t xml:space="preserve"> </w:t>
      </w:r>
      <w:r w:rsidR="00605DF7" w:rsidRPr="00605DF7">
        <w:rPr>
          <w:rFonts w:cs="Arial"/>
          <w:bCs/>
        </w:rPr>
        <w:t>Supervisors,</w:t>
      </w:r>
      <w:r w:rsidR="00605DF7">
        <w:rPr>
          <w:rFonts w:cs="Arial"/>
          <w:b/>
          <w:bCs/>
        </w:rPr>
        <w:t xml:space="preserve"> </w:t>
      </w:r>
    </w:p>
    <w:p w:rsidR="00D20812" w:rsidRDefault="00605DF7" w:rsidP="00297CB5">
      <w:pPr>
        <w:pStyle w:val="NoSpacing"/>
        <w:tabs>
          <w:tab w:val="left" w:pos="3150"/>
        </w:tabs>
        <w:rPr>
          <w:rFonts w:cs="Arial"/>
        </w:rPr>
      </w:pPr>
      <w:r>
        <w:rPr>
          <w:rFonts w:cs="Arial"/>
          <w:b/>
          <w:bCs/>
        </w:rPr>
        <w:t xml:space="preserve">                                               </w:t>
      </w:r>
      <w:r w:rsidRPr="00605DF7">
        <w:rPr>
          <w:rFonts w:cs="Arial"/>
          <w:bCs/>
        </w:rPr>
        <w:t>County of</w:t>
      </w:r>
      <w:r>
        <w:rPr>
          <w:rFonts w:cs="Arial"/>
          <w:b/>
          <w:bCs/>
        </w:rPr>
        <w:t xml:space="preserve"> </w:t>
      </w:r>
      <w:r w:rsidR="00341F0D">
        <w:rPr>
          <w:rFonts w:cs="Arial"/>
        </w:rPr>
        <w:t>Siskiyou</w:t>
      </w:r>
      <w:r>
        <w:rPr>
          <w:rFonts w:cs="Arial"/>
        </w:rPr>
        <w:t xml:space="preserve"> State of California</w:t>
      </w:r>
    </w:p>
    <w:p w:rsidR="00605DF7" w:rsidRDefault="00605DF7" w:rsidP="00297CB5">
      <w:pPr>
        <w:pStyle w:val="NoSpacing"/>
        <w:tabs>
          <w:tab w:val="left" w:pos="3150"/>
        </w:tabs>
        <w:rPr>
          <w:rFonts w:cs="Arial"/>
        </w:rPr>
      </w:pPr>
      <w:r>
        <w:rPr>
          <w:rFonts w:cs="Arial"/>
        </w:rPr>
        <w:t xml:space="preserve">                                                                   </w:t>
      </w:r>
    </w:p>
    <w:p w:rsidR="00D20812" w:rsidRDefault="00D20812" w:rsidP="00D20812">
      <w:pPr>
        <w:rPr>
          <w:rFonts w:cs="Arial"/>
        </w:rPr>
      </w:pPr>
      <w:r>
        <w:rPr>
          <w:rFonts w:cs="Arial"/>
        </w:rPr>
        <w:t>ATTEST:</w:t>
      </w:r>
    </w:p>
    <w:p w:rsidR="00485D12" w:rsidRDefault="00297CB5" w:rsidP="00485D12">
      <w:pPr>
        <w:spacing w:after="0"/>
        <w:rPr>
          <w:rFonts w:cs="Arial"/>
        </w:rPr>
      </w:pPr>
      <w:r>
        <w:rPr>
          <w:rFonts w:cs="Arial"/>
        </w:rPr>
        <w:t>Laura Bynum</w:t>
      </w:r>
      <w:r w:rsidR="00D20812">
        <w:rPr>
          <w:rFonts w:cs="Arial"/>
        </w:rPr>
        <w:t>,</w:t>
      </w:r>
    </w:p>
    <w:p w:rsidR="00D20812" w:rsidRDefault="00297CB5" w:rsidP="00485D12">
      <w:pPr>
        <w:spacing w:before="0" w:after="0"/>
        <w:rPr>
          <w:rFonts w:cs="Arial"/>
        </w:rPr>
      </w:pPr>
      <w:r>
        <w:rPr>
          <w:rFonts w:cs="Arial"/>
        </w:rPr>
        <w:t>County Clerk</w:t>
      </w:r>
    </w:p>
    <w:p w:rsidR="00485D12" w:rsidRDefault="00D20812" w:rsidP="00485D12">
      <w:pPr>
        <w:tabs>
          <w:tab w:val="left" w:pos="900"/>
        </w:tabs>
        <w:spacing w:before="360" w:after="0"/>
        <w:rPr>
          <w:rFonts w:cs="Arial"/>
        </w:rPr>
      </w:pPr>
      <w:r>
        <w:rPr>
          <w:rFonts w:cs="Arial"/>
        </w:rPr>
        <w:t xml:space="preserve">By </w:t>
      </w:r>
      <w:r w:rsidRPr="00297CB5">
        <w:rPr>
          <w:rFonts w:cs="Arial"/>
          <w:u w:val="single"/>
        </w:rPr>
        <w:t>_</w:t>
      </w:r>
      <w:r w:rsidR="008E75B6">
        <w:rPr>
          <w:u w:val="single"/>
        </w:rPr>
        <w:t>_______________________________</w:t>
      </w:r>
    </w:p>
    <w:p w:rsidR="00D20812" w:rsidRDefault="00D20812" w:rsidP="00485D12">
      <w:pPr>
        <w:tabs>
          <w:tab w:val="left" w:pos="900"/>
        </w:tabs>
        <w:spacing w:before="0" w:after="0"/>
        <w:rPr>
          <w:rFonts w:cs="Arial"/>
        </w:rPr>
      </w:pPr>
      <w:r>
        <w:rPr>
          <w:rFonts w:cs="Arial"/>
        </w:rPr>
        <w:tab/>
        <w:t>Deputy</w:t>
      </w:r>
    </w:p>
    <w:p w:rsidR="004857A3" w:rsidRDefault="004857A3">
      <w:pPr>
        <w:spacing w:before="0" w:after="200" w:line="276" w:lineRule="auto"/>
        <w:rPr>
          <w:rFonts w:cs="Arial"/>
        </w:rPr>
      </w:pPr>
      <w:r>
        <w:rPr>
          <w:rFonts w:cs="Arial"/>
        </w:rPr>
        <w:br w:type="page"/>
      </w:r>
    </w:p>
    <w:p w:rsidR="004857A3" w:rsidRPr="004857A3" w:rsidRDefault="004857A3" w:rsidP="007870FA">
      <w:pPr>
        <w:rPr>
          <w:b/>
          <w:bCs/>
          <w:u w:val="single"/>
        </w:rPr>
      </w:pPr>
      <w:r>
        <w:rPr>
          <w:bCs/>
        </w:rPr>
        <w:lastRenderedPageBreak/>
        <w:t xml:space="preserve">                                               </w:t>
      </w:r>
      <w:r w:rsidRPr="004857A3">
        <w:rPr>
          <w:b/>
          <w:bCs/>
          <w:u w:val="single"/>
        </w:rPr>
        <w:t>AERONAUTICAL CPI &amp; CAF</w:t>
      </w:r>
    </w:p>
    <w:p w:rsidR="004857A3" w:rsidRPr="004857A3" w:rsidRDefault="004857A3" w:rsidP="007870FA">
      <w:pPr>
        <w:rPr>
          <w:bCs/>
          <w:u w:val="single"/>
        </w:rPr>
      </w:pPr>
    </w:p>
    <w:p w:rsidR="004857A3" w:rsidRPr="009B17A4" w:rsidRDefault="004857A3" w:rsidP="007870FA">
      <w:pPr>
        <w:rPr>
          <w:bCs/>
        </w:rPr>
      </w:pPr>
      <w:r w:rsidRPr="009B17A4">
        <w:rPr>
          <w:bCs/>
        </w:rPr>
        <w:t>On</w:t>
      </w:r>
      <w:r w:rsidRPr="009B17A4">
        <w:t xml:space="preserve"> the first anniversary of the Commencement Date, and each anniversary thereafter, the Base Rent shall be increased by the current County Adjustment Factor. This will determine the new “Base Rent” for the new year. The County "Adjustment Factor" shall be a percentage calculated as follows: Beginning January 1, 202</w:t>
      </w:r>
      <w:r w:rsidR="000A2711">
        <w:t>3</w:t>
      </w:r>
      <w:r w:rsidRPr="009B17A4">
        <w:t xml:space="preserve">, and every </w:t>
      </w:r>
      <w:r w:rsidR="000A2711">
        <w:t>three</w:t>
      </w:r>
      <w:r w:rsidRPr="009B17A4">
        <w:t xml:space="preserve"> (</w:t>
      </w:r>
      <w:r w:rsidR="000A2711">
        <w:t>3</w:t>
      </w:r>
      <w:r w:rsidRPr="009B17A4">
        <w:t xml:space="preserve">) year period thereafter, the annual rent increase shall be determined by calculating the average annual California Consumer Price Index for all areas and all consumers as reported by the State of California, Department of Industrial Relations ("CPI"), for the preceding </w:t>
      </w:r>
      <w:r w:rsidR="000A2711">
        <w:t>three</w:t>
      </w:r>
      <w:r w:rsidRPr="009B17A4">
        <w:t xml:space="preserve"> (</w:t>
      </w:r>
      <w:r w:rsidR="000A2711">
        <w:t>3</w:t>
      </w:r>
      <w:r w:rsidRPr="009B17A4">
        <w:t xml:space="preserve">) years, with the resulting adjusted CPI applied for that year and the </w:t>
      </w:r>
      <w:r w:rsidR="000A2711">
        <w:t>two</w:t>
      </w:r>
      <w:r w:rsidRPr="009B17A4">
        <w:t xml:space="preserve"> (</w:t>
      </w:r>
      <w:r w:rsidR="000A2711">
        <w:t>2</w:t>
      </w:r>
      <w:r w:rsidRPr="009B17A4">
        <w:t xml:space="preserve">) years that follow. however, the Adjustment Factor shall not be less than one percent (1%) nor more than </w:t>
      </w:r>
      <w:r w:rsidR="0067521D">
        <w:t>six</w:t>
      </w:r>
      <w:r w:rsidRPr="009B17A4">
        <w:t xml:space="preserve"> percent (</w:t>
      </w:r>
      <w:r w:rsidR="000A2711">
        <w:t>6</w:t>
      </w:r>
      <w:r w:rsidRPr="009B17A4">
        <w:t xml:space="preserve">%). </w:t>
      </w:r>
      <w:r w:rsidRPr="009B17A4">
        <w:rPr>
          <w:bCs/>
        </w:rPr>
        <w:t>The rental amount rate schedule for this is through December 31</w:t>
      </w:r>
      <w:r w:rsidRPr="009B17A4">
        <w:rPr>
          <w:bCs/>
          <w:vertAlign w:val="superscript"/>
        </w:rPr>
        <w:t>st</w:t>
      </w:r>
      <w:r w:rsidRPr="009B17A4">
        <w:rPr>
          <w:bCs/>
        </w:rPr>
        <w:t xml:space="preserve"> of the year preceding the next Adjustment Factor calculation date. </w:t>
      </w:r>
    </w:p>
    <w:p w:rsidR="004857A3" w:rsidRDefault="004857A3">
      <w:pPr>
        <w:rPr>
          <w:sz w:val="20"/>
          <w:szCs w:val="20"/>
        </w:rPr>
      </w:pPr>
      <w:r>
        <w:rPr>
          <w:sz w:val="20"/>
          <w:szCs w:val="20"/>
        </w:rPr>
        <w:t xml:space="preserve">                                                                                        </w:t>
      </w:r>
    </w:p>
    <w:p w:rsidR="004857A3" w:rsidRPr="00EB58AF" w:rsidRDefault="004857A3">
      <w:pPr>
        <w:rPr>
          <w:b/>
          <w:sz w:val="20"/>
          <w:szCs w:val="20"/>
        </w:rPr>
      </w:pPr>
      <w:r>
        <w:rPr>
          <w:sz w:val="20"/>
          <w:szCs w:val="20"/>
        </w:rPr>
        <w:t xml:space="preserve">                                                 </w:t>
      </w:r>
      <w:r w:rsidRPr="00EB58AF">
        <w:rPr>
          <w:b/>
          <w:sz w:val="20"/>
          <w:szCs w:val="20"/>
        </w:rPr>
        <w:t>Land / Ground Lease</w:t>
      </w:r>
    </w:p>
    <w:tbl>
      <w:tblPr>
        <w:tblW w:w="5686" w:type="dxa"/>
        <w:tblLook w:val="04A0" w:firstRow="1" w:lastRow="0" w:firstColumn="1" w:lastColumn="0" w:noHBand="0" w:noVBand="1"/>
      </w:tblPr>
      <w:tblGrid>
        <w:gridCol w:w="1791"/>
        <w:gridCol w:w="1298"/>
        <w:gridCol w:w="1297"/>
        <w:gridCol w:w="1300"/>
      </w:tblGrid>
      <w:tr w:rsidR="00CF32C7" w:rsidRPr="00EB58AF" w:rsidTr="00CF32C7">
        <w:trPr>
          <w:trHeight w:val="331"/>
        </w:trPr>
        <w:tc>
          <w:tcPr>
            <w:tcW w:w="1791" w:type="dxa"/>
            <w:tcBorders>
              <w:top w:val="nil"/>
              <w:left w:val="nil"/>
              <w:bottom w:val="nil"/>
              <w:right w:val="single" w:sz="4" w:space="0" w:color="auto"/>
            </w:tcBorders>
            <w:shd w:val="clear" w:color="auto" w:fill="auto"/>
            <w:noWrap/>
            <w:vAlign w:val="bottom"/>
            <w:hideMark/>
          </w:tcPr>
          <w:p w:rsidR="00CF32C7" w:rsidRPr="00EB58AF" w:rsidRDefault="00CF32C7" w:rsidP="00EB58AF">
            <w:pPr>
              <w:spacing w:after="0" w:line="240" w:lineRule="auto"/>
              <w:rPr>
                <w:rFonts w:ascii="Times New Roman" w:eastAsia="Times New Roman" w:hAnsi="Times New Roman" w:cs="Times New Roman"/>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2023</w:t>
            </w:r>
          </w:p>
        </w:tc>
        <w:tc>
          <w:tcPr>
            <w:tcW w:w="1297"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2024</w:t>
            </w:r>
          </w:p>
        </w:tc>
        <w:tc>
          <w:tcPr>
            <w:tcW w:w="1300"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2025</w:t>
            </w:r>
          </w:p>
        </w:tc>
      </w:tr>
      <w:tr w:rsidR="00CF32C7" w:rsidRPr="00EB58AF" w:rsidTr="00CF32C7">
        <w:trPr>
          <w:trHeight w:val="331"/>
        </w:trPr>
        <w:tc>
          <w:tcPr>
            <w:tcW w:w="1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F32C7" w:rsidRPr="00EB58AF" w:rsidRDefault="00CF32C7" w:rsidP="00EB58AF">
            <w:pPr>
              <w:spacing w:after="0" w:line="240" w:lineRule="auto"/>
              <w:rPr>
                <w:rFonts w:ascii="Calibri" w:eastAsia="Times New Roman" w:hAnsi="Calibri" w:cs="Calibri"/>
                <w:color w:val="000000"/>
                <w:sz w:val="20"/>
                <w:szCs w:val="20"/>
              </w:rPr>
            </w:pPr>
            <w:r w:rsidRPr="00EB58AF">
              <w:rPr>
                <w:rFonts w:ascii="Calibri" w:eastAsia="Times New Roman" w:hAnsi="Calibri" w:cs="Calibri"/>
                <w:color w:val="000000"/>
                <w:sz w:val="20"/>
                <w:szCs w:val="20"/>
              </w:rPr>
              <w:t>CAF</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7"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r>
      <w:tr w:rsidR="00CF32C7" w:rsidRPr="00EB58AF" w:rsidTr="00CF32C7">
        <w:trPr>
          <w:trHeight w:val="161"/>
        </w:trPr>
        <w:tc>
          <w:tcPr>
            <w:tcW w:w="1791" w:type="dxa"/>
            <w:tcBorders>
              <w:top w:val="nil"/>
              <w:left w:val="single" w:sz="4" w:space="0" w:color="auto"/>
              <w:bottom w:val="single" w:sz="4" w:space="0" w:color="auto"/>
              <w:right w:val="single" w:sz="4" w:space="0" w:color="auto"/>
            </w:tcBorders>
            <w:shd w:val="clear" w:color="000000" w:fill="D0CECE"/>
            <w:noWrap/>
            <w:vAlign w:val="bottom"/>
            <w:hideMark/>
          </w:tcPr>
          <w:p w:rsidR="00CF32C7" w:rsidRPr="00EB58AF" w:rsidRDefault="00CF32C7" w:rsidP="00EB58AF">
            <w:pPr>
              <w:spacing w:after="0" w:line="240" w:lineRule="auto"/>
              <w:rPr>
                <w:rFonts w:ascii="Calibri" w:eastAsia="Times New Roman" w:hAnsi="Calibri" w:cs="Calibri"/>
                <w:color w:val="0D0D0D"/>
                <w:sz w:val="20"/>
                <w:szCs w:val="20"/>
              </w:rPr>
            </w:pPr>
            <w:r>
              <w:rPr>
                <w:rFonts w:ascii="Calibri" w:eastAsia="Times New Roman" w:hAnsi="Calibri" w:cs="Calibri"/>
                <w:color w:val="0D0D0D"/>
                <w:sz w:val="20"/>
                <w:szCs w:val="20"/>
              </w:rPr>
              <w:t xml:space="preserve">Base </w:t>
            </w:r>
            <w:r w:rsidRPr="00EB58AF">
              <w:rPr>
                <w:rFonts w:ascii="Calibri" w:eastAsia="Times New Roman" w:hAnsi="Calibri" w:cs="Calibri"/>
                <w:color w:val="0D0D0D"/>
                <w:sz w:val="20"/>
                <w:szCs w:val="20"/>
              </w:rPr>
              <w:t>Price/</w:t>
            </w:r>
            <w:proofErr w:type="spellStart"/>
            <w:r w:rsidRPr="00EB58AF">
              <w:rPr>
                <w:rFonts w:ascii="Calibri" w:eastAsia="Times New Roman" w:hAnsi="Calibri" w:cs="Calibri"/>
                <w:color w:val="0D0D0D"/>
                <w:sz w:val="20"/>
                <w:szCs w:val="20"/>
              </w:rPr>
              <w:t>Sqf</w:t>
            </w:r>
            <w:proofErr w:type="spellEnd"/>
          </w:p>
        </w:tc>
        <w:tc>
          <w:tcPr>
            <w:tcW w:w="1298"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$0.32</w:t>
            </w:r>
            <w:r w:rsidR="006E392F">
              <w:rPr>
                <w:rFonts w:ascii="Calibri" w:eastAsia="Times New Roman" w:hAnsi="Calibri" w:cs="Calibri"/>
                <w:b/>
                <w:bCs/>
                <w:color w:val="0D0D0D"/>
                <w:sz w:val="20"/>
                <w:szCs w:val="20"/>
              </w:rPr>
              <w:t>6</w:t>
            </w:r>
          </w:p>
        </w:tc>
        <w:tc>
          <w:tcPr>
            <w:tcW w:w="1297"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$0.3</w:t>
            </w:r>
            <w:r w:rsidR="006E392F">
              <w:rPr>
                <w:rFonts w:ascii="Calibri" w:eastAsia="Times New Roman" w:hAnsi="Calibri" w:cs="Calibri"/>
                <w:b/>
                <w:bCs/>
                <w:color w:val="0D0D0D"/>
                <w:sz w:val="20"/>
                <w:szCs w:val="20"/>
              </w:rPr>
              <w:t>40</w:t>
            </w:r>
          </w:p>
        </w:tc>
        <w:tc>
          <w:tcPr>
            <w:tcW w:w="1300"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$0.35</w:t>
            </w:r>
            <w:r w:rsidR="006E392F">
              <w:rPr>
                <w:rFonts w:ascii="Calibri" w:eastAsia="Times New Roman" w:hAnsi="Calibri" w:cs="Calibri"/>
                <w:b/>
                <w:bCs/>
                <w:color w:val="0D0D0D"/>
                <w:sz w:val="20"/>
                <w:szCs w:val="20"/>
              </w:rPr>
              <w:t>5</w:t>
            </w:r>
          </w:p>
        </w:tc>
      </w:tr>
    </w:tbl>
    <w:p w:rsidR="004857A3" w:rsidRPr="00D4443E" w:rsidRDefault="004857A3" w:rsidP="00E83550">
      <w:pPr>
        <w:rPr>
          <w:sz w:val="18"/>
          <w:szCs w:val="18"/>
        </w:rPr>
      </w:pPr>
      <w:r w:rsidRPr="00444029">
        <w:t xml:space="preserve">                           </w:t>
      </w:r>
      <w:r>
        <w:t xml:space="preserve">                                 </w:t>
      </w:r>
      <w:r w:rsidRPr="00D4443E">
        <w:rPr>
          <w:sz w:val="18"/>
          <w:szCs w:val="18"/>
        </w:rPr>
        <w:t xml:space="preserve">                                                 </w:t>
      </w:r>
    </w:p>
    <w:p w:rsidR="004857A3" w:rsidRPr="00EB58AF" w:rsidRDefault="004857A3" w:rsidP="00E83550">
      <w:pPr>
        <w:rPr>
          <w:b/>
          <w:sz w:val="20"/>
          <w:szCs w:val="20"/>
        </w:rPr>
      </w:pPr>
      <w:r>
        <w:rPr>
          <w:sz w:val="20"/>
          <w:szCs w:val="20"/>
        </w:rPr>
        <w:t xml:space="preserve">                                                   </w:t>
      </w:r>
      <w:r w:rsidRPr="0013796A">
        <w:rPr>
          <w:b/>
          <w:sz w:val="20"/>
          <w:szCs w:val="20"/>
        </w:rPr>
        <w:t>Box</w:t>
      </w:r>
      <w:r>
        <w:rPr>
          <w:sz w:val="20"/>
          <w:szCs w:val="20"/>
        </w:rPr>
        <w:t xml:space="preserve"> </w:t>
      </w:r>
      <w:r w:rsidRPr="00E83550">
        <w:rPr>
          <w:b/>
          <w:sz w:val="20"/>
          <w:szCs w:val="20"/>
        </w:rPr>
        <w:t>Hangar</w:t>
      </w:r>
      <w:r w:rsidRPr="00EB58AF">
        <w:rPr>
          <w:b/>
          <w:sz w:val="20"/>
          <w:szCs w:val="20"/>
        </w:rPr>
        <w:t xml:space="preserve"> Lease</w:t>
      </w:r>
    </w:p>
    <w:tbl>
      <w:tblPr>
        <w:tblW w:w="5682" w:type="dxa"/>
        <w:tblLook w:val="04A0" w:firstRow="1" w:lastRow="0" w:firstColumn="1" w:lastColumn="0" w:noHBand="0" w:noVBand="1"/>
      </w:tblPr>
      <w:tblGrid>
        <w:gridCol w:w="1790"/>
        <w:gridCol w:w="1297"/>
        <w:gridCol w:w="1296"/>
        <w:gridCol w:w="1299"/>
      </w:tblGrid>
      <w:tr w:rsidR="00CF32C7" w:rsidRPr="00EB58AF" w:rsidTr="00CF32C7">
        <w:trPr>
          <w:trHeight w:val="335"/>
        </w:trPr>
        <w:tc>
          <w:tcPr>
            <w:tcW w:w="1790" w:type="dxa"/>
            <w:tcBorders>
              <w:top w:val="nil"/>
              <w:left w:val="nil"/>
              <w:bottom w:val="nil"/>
              <w:right w:val="single" w:sz="4" w:space="0" w:color="auto"/>
            </w:tcBorders>
            <w:shd w:val="clear" w:color="auto" w:fill="auto"/>
            <w:noWrap/>
            <w:vAlign w:val="bottom"/>
            <w:hideMark/>
          </w:tcPr>
          <w:p w:rsidR="00CF32C7" w:rsidRPr="00EB58AF" w:rsidRDefault="00CF32C7" w:rsidP="00A31723">
            <w:pPr>
              <w:spacing w:after="0" w:line="240" w:lineRule="auto"/>
              <w:rPr>
                <w:rFonts w:ascii="Times New Roman" w:eastAsia="Times New Roman" w:hAnsi="Times New Roman" w:cs="Times New Roman"/>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2023</w:t>
            </w:r>
          </w:p>
        </w:tc>
        <w:tc>
          <w:tcPr>
            <w:tcW w:w="1296"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2024</w:t>
            </w:r>
          </w:p>
        </w:tc>
        <w:tc>
          <w:tcPr>
            <w:tcW w:w="1299"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2025</w:t>
            </w:r>
          </w:p>
        </w:tc>
      </w:tr>
      <w:tr w:rsidR="00CF32C7" w:rsidRPr="00EB58AF" w:rsidTr="00CF32C7">
        <w:trPr>
          <w:trHeight w:val="335"/>
        </w:trPr>
        <w:tc>
          <w:tcPr>
            <w:tcW w:w="17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F32C7" w:rsidRPr="00EB58AF" w:rsidRDefault="00CF32C7" w:rsidP="00A31723">
            <w:pPr>
              <w:spacing w:after="0" w:line="240" w:lineRule="auto"/>
              <w:rPr>
                <w:rFonts w:ascii="Calibri" w:eastAsia="Times New Roman" w:hAnsi="Calibri" w:cs="Calibri"/>
                <w:color w:val="000000"/>
                <w:sz w:val="20"/>
                <w:szCs w:val="20"/>
              </w:rPr>
            </w:pPr>
            <w:r w:rsidRPr="00EB58AF">
              <w:rPr>
                <w:rFonts w:ascii="Calibri" w:eastAsia="Times New Roman" w:hAnsi="Calibri" w:cs="Calibri"/>
                <w:color w:val="000000"/>
                <w:sz w:val="20"/>
                <w:szCs w:val="20"/>
              </w:rPr>
              <w:t>CAF</w:t>
            </w:r>
          </w:p>
        </w:tc>
        <w:tc>
          <w:tcPr>
            <w:tcW w:w="1297"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6"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9"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r>
      <w:tr w:rsidR="00CF32C7" w:rsidRPr="00EB58AF" w:rsidTr="00CF32C7">
        <w:trPr>
          <w:trHeight w:val="141"/>
        </w:trPr>
        <w:tc>
          <w:tcPr>
            <w:tcW w:w="1790" w:type="dxa"/>
            <w:tcBorders>
              <w:top w:val="nil"/>
              <w:left w:val="single" w:sz="4" w:space="0" w:color="auto"/>
              <w:bottom w:val="single" w:sz="4" w:space="0" w:color="auto"/>
              <w:right w:val="single" w:sz="4" w:space="0" w:color="auto"/>
            </w:tcBorders>
            <w:shd w:val="clear" w:color="000000" w:fill="D0CECE"/>
            <w:noWrap/>
            <w:vAlign w:val="bottom"/>
            <w:hideMark/>
          </w:tcPr>
          <w:p w:rsidR="00CF32C7" w:rsidRPr="00EB58AF" w:rsidRDefault="00CF32C7" w:rsidP="00A31723">
            <w:pPr>
              <w:spacing w:after="0" w:line="240" w:lineRule="auto"/>
              <w:rPr>
                <w:rFonts w:ascii="Calibri" w:eastAsia="Times New Roman" w:hAnsi="Calibri" w:cs="Calibri"/>
                <w:color w:val="0D0D0D"/>
                <w:sz w:val="20"/>
                <w:szCs w:val="20"/>
              </w:rPr>
            </w:pPr>
            <w:r>
              <w:rPr>
                <w:rFonts w:ascii="Calibri" w:eastAsia="Times New Roman" w:hAnsi="Calibri" w:cs="Calibri"/>
                <w:color w:val="0D0D0D"/>
                <w:sz w:val="20"/>
                <w:szCs w:val="20"/>
              </w:rPr>
              <w:t xml:space="preserve">Base </w:t>
            </w:r>
            <w:r w:rsidRPr="00EB58AF">
              <w:rPr>
                <w:rFonts w:ascii="Calibri" w:eastAsia="Times New Roman" w:hAnsi="Calibri" w:cs="Calibri"/>
                <w:color w:val="0D0D0D"/>
                <w:sz w:val="20"/>
                <w:szCs w:val="20"/>
              </w:rPr>
              <w:t>Price/</w:t>
            </w:r>
            <w:proofErr w:type="spellStart"/>
            <w:r w:rsidRPr="00EB58AF">
              <w:rPr>
                <w:rFonts w:ascii="Calibri" w:eastAsia="Times New Roman" w:hAnsi="Calibri" w:cs="Calibri"/>
                <w:color w:val="0D0D0D"/>
                <w:sz w:val="20"/>
                <w:szCs w:val="20"/>
              </w:rPr>
              <w:t>Sqf</w:t>
            </w:r>
            <w:proofErr w:type="spellEnd"/>
          </w:p>
        </w:tc>
        <w:tc>
          <w:tcPr>
            <w:tcW w:w="1297"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80</w:t>
            </w:r>
            <w:r w:rsidR="006E392F">
              <w:rPr>
                <w:rFonts w:ascii="Calibri" w:eastAsia="Times New Roman" w:hAnsi="Calibri" w:cs="Calibri"/>
                <w:b/>
                <w:bCs/>
                <w:color w:val="0D0D0D"/>
                <w:sz w:val="20"/>
                <w:szCs w:val="20"/>
              </w:rPr>
              <w:t>7</w:t>
            </w:r>
          </w:p>
        </w:tc>
        <w:tc>
          <w:tcPr>
            <w:tcW w:w="1296"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8</w:t>
            </w:r>
            <w:r w:rsidR="006E392F">
              <w:rPr>
                <w:rFonts w:ascii="Calibri" w:eastAsia="Times New Roman" w:hAnsi="Calibri" w:cs="Calibri"/>
                <w:b/>
                <w:bCs/>
                <w:color w:val="0D0D0D"/>
                <w:sz w:val="20"/>
                <w:szCs w:val="20"/>
              </w:rPr>
              <w:t>40</w:t>
            </w:r>
          </w:p>
        </w:tc>
        <w:tc>
          <w:tcPr>
            <w:tcW w:w="1299"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87</w:t>
            </w:r>
            <w:r w:rsidR="006E392F">
              <w:rPr>
                <w:rFonts w:ascii="Calibri" w:eastAsia="Times New Roman" w:hAnsi="Calibri" w:cs="Calibri"/>
                <w:b/>
                <w:bCs/>
                <w:color w:val="0D0D0D"/>
                <w:sz w:val="20"/>
                <w:szCs w:val="20"/>
              </w:rPr>
              <w:t>5</w:t>
            </w:r>
          </w:p>
        </w:tc>
      </w:tr>
    </w:tbl>
    <w:p w:rsidR="004857A3" w:rsidRDefault="004857A3" w:rsidP="002E2815">
      <w:pPr>
        <w:rPr>
          <w:b/>
          <w:sz w:val="20"/>
          <w:szCs w:val="20"/>
        </w:rPr>
      </w:pPr>
    </w:p>
    <w:p w:rsidR="004857A3" w:rsidRPr="00EB58AF" w:rsidRDefault="004857A3" w:rsidP="002E2815">
      <w:pPr>
        <w:rPr>
          <w:b/>
          <w:sz w:val="20"/>
          <w:szCs w:val="20"/>
        </w:rPr>
      </w:pPr>
      <w:r>
        <w:rPr>
          <w:b/>
          <w:sz w:val="20"/>
          <w:szCs w:val="20"/>
        </w:rPr>
        <w:t xml:space="preserve">                                                  Open </w:t>
      </w:r>
      <w:r w:rsidRPr="00E83550">
        <w:rPr>
          <w:b/>
          <w:sz w:val="20"/>
          <w:szCs w:val="20"/>
        </w:rPr>
        <w:t>Hangar</w:t>
      </w:r>
      <w:r w:rsidRPr="00EB58AF">
        <w:rPr>
          <w:b/>
          <w:sz w:val="20"/>
          <w:szCs w:val="20"/>
        </w:rPr>
        <w:t xml:space="preserve"> Lease</w:t>
      </w:r>
    </w:p>
    <w:tbl>
      <w:tblPr>
        <w:tblW w:w="5682" w:type="dxa"/>
        <w:tblLook w:val="04A0" w:firstRow="1" w:lastRow="0" w:firstColumn="1" w:lastColumn="0" w:noHBand="0" w:noVBand="1"/>
      </w:tblPr>
      <w:tblGrid>
        <w:gridCol w:w="1790"/>
        <w:gridCol w:w="1297"/>
        <w:gridCol w:w="1296"/>
        <w:gridCol w:w="1299"/>
      </w:tblGrid>
      <w:tr w:rsidR="00CF32C7" w:rsidRPr="00EB58AF" w:rsidTr="00CF32C7">
        <w:trPr>
          <w:trHeight w:val="335"/>
        </w:trPr>
        <w:tc>
          <w:tcPr>
            <w:tcW w:w="1790" w:type="dxa"/>
            <w:tcBorders>
              <w:top w:val="nil"/>
              <w:left w:val="nil"/>
              <w:bottom w:val="nil"/>
              <w:right w:val="single" w:sz="4" w:space="0" w:color="auto"/>
            </w:tcBorders>
            <w:shd w:val="clear" w:color="auto" w:fill="auto"/>
            <w:noWrap/>
            <w:vAlign w:val="bottom"/>
            <w:hideMark/>
          </w:tcPr>
          <w:p w:rsidR="00CF32C7" w:rsidRPr="00EB58AF" w:rsidRDefault="00CF32C7" w:rsidP="00A31723">
            <w:pPr>
              <w:spacing w:after="0" w:line="240" w:lineRule="auto"/>
              <w:rPr>
                <w:rFonts w:ascii="Times New Roman" w:eastAsia="Times New Roman" w:hAnsi="Times New Roman" w:cs="Times New Roman"/>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2023</w:t>
            </w:r>
          </w:p>
        </w:tc>
        <w:tc>
          <w:tcPr>
            <w:tcW w:w="1296"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2024</w:t>
            </w:r>
          </w:p>
        </w:tc>
        <w:tc>
          <w:tcPr>
            <w:tcW w:w="1299"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2025</w:t>
            </w:r>
          </w:p>
        </w:tc>
      </w:tr>
      <w:tr w:rsidR="00CF32C7" w:rsidRPr="00EB58AF" w:rsidTr="00CF32C7">
        <w:trPr>
          <w:trHeight w:val="335"/>
        </w:trPr>
        <w:tc>
          <w:tcPr>
            <w:tcW w:w="17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F32C7" w:rsidRPr="00EB58AF" w:rsidRDefault="00CF32C7" w:rsidP="00A31723">
            <w:pPr>
              <w:spacing w:after="0" w:line="240" w:lineRule="auto"/>
              <w:rPr>
                <w:rFonts w:ascii="Calibri" w:eastAsia="Times New Roman" w:hAnsi="Calibri" w:cs="Calibri"/>
                <w:color w:val="000000"/>
                <w:sz w:val="20"/>
                <w:szCs w:val="20"/>
              </w:rPr>
            </w:pPr>
            <w:r w:rsidRPr="00EB58AF">
              <w:rPr>
                <w:rFonts w:ascii="Calibri" w:eastAsia="Times New Roman" w:hAnsi="Calibri" w:cs="Calibri"/>
                <w:color w:val="000000"/>
                <w:sz w:val="20"/>
                <w:szCs w:val="20"/>
              </w:rPr>
              <w:t>CAF</w:t>
            </w:r>
          </w:p>
        </w:tc>
        <w:tc>
          <w:tcPr>
            <w:tcW w:w="1297"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6"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9"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r>
      <w:tr w:rsidR="00CF32C7" w:rsidRPr="00EB58AF" w:rsidTr="00CF32C7">
        <w:trPr>
          <w:trHeight w:val="141"/>
        </w:trPr>
        <w:tc>
          <w:tcPr>
            <w:tcW w:w="1790" w:type="dxa"/>
            <w:tcBorders>
              <w:top w:val="nil"/>
              <w:left w:val="single" w:sz="4" w:space="0" w:color="auto"/>
              <w:bottom w:val="single" w:sz="4" w:space="0" w:color="auto"/>
              <w:right w:val="single" w:sz="4" w:space="0" w:color="auto"/>
            </w:tcBorders>
            <w:shd w:val="clear" w:color="000000" w:fill="D0CECE"/>
            <w:noWrap/>
            <w:vAlign w:val="bottom"/>
            <w:hideMark/>
          </w:tcPr>
          <w:p w:rsidR="00CF32C7" w:rsidRPr="00EB58AF" w:rsidRDefault="00CF32C7" w:rsidP="00A31723">
            <w:pPr>
              <w:spacing w:after="0" w:line="240" w:lineRule="auto"/>
              <w:rPr>
                <w:rFonts w:ascii="Calibri" w:eastAsia="Times New Roman" w:hAnsi="Calibri" w:cs="Calibri"/>
                <w:color w:val="0D0D0D"/>
                <w:sz w:val="20"/>
                <w:szCs w:val="20"/>
              </w:rPr>
            </w:pPr>
            <w:r>
              <w:rPr>
                <w:rFonts w:ascii="Calibri" w:eastAsia="Times New Roman" w:hAnsi="Calibri" w:cs="Calibri"/>
                <w:color w:val="0D0D0D"/>
                <w:sz w:val="20"/>
                <w:szCs w:val="20"/>
              </w:rPr>
              <w:t xml:space="preserve">Base </w:t>
            </w:r>
            <w:r w:rsidRPr="00EB58AF">
              <w:rPr>
                <w:rFonts w:ascii="Calibri" w:eastAsia="Times New Roman" w:hAnsi="Calibri" w:cs="Calibri"/>
                <w:color w:val="0D0D0D"/>
                <w:sz w:val="20"/>
                <w:szCs w:val="20"/>
              </w:rPr>
              <w:t>Price/</w:t>
            </w:r>
            <w:proofErr w:type="spellStart"/>
            <w:r w:rsidRPr="00EB58AF">
              <w:rPr>
                <w:rFonts w:ascii="Calibri" w:eastAsia="Times New Roman" w:hAnsi="Calibri" w:cs="Calibri"/>
                <w:color w:val="0D0D0D"/>
                <w:sz w:val="20"/>
                <w:szCs w:val="20"/>
              </w:rPr>
              <w:t>Sqf</w:t>
            </w:r>
            <w:proofErr w:type="spellEnd"/>
          </w:p>
        </w:tc>
        <w:tc>
          <w:tcPr>
            <w:tcW w:w="1297"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56</w:t>
            </w:r>
            <w:r w:rsidR="006E392F">
              <w:rPr>
                <w:rFonts w:ascii="Calibri" w:eastAsia="Times New Roman" w:hAnsi="Calibri" w:cs="Calibri"/>
                <w:b/>
                <w:bCs/>
                <w:color w:val="0D0D0D"/>
                <w:sz w:val="20"/>
                <w:szCs w:val="20"/>
              </w:rPr>
              <w:t>8</w:t>
            </w:r>
          </w:p>
        </w:tc>
        <w:tc>
          <w:tcPr>
            <w:tcW w:w="1296"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5</w:t>
            </w:r>
            <w:r w:rsidR="006E392F">
              <w:rPr>
                <w:rFonts w:ascii="Calibri" w:eastAsia="Times New Roman" w:hAnsi="Calibri" w:cs="Calibri"/>
                <w:b/>
                <w:bCs/>
                <w:color w:val="0D0D0D"/>
                <w:sz w:val="20"/>
                <w:szCs w:val="20"/>
              </w:rPr>
              <w:t>93</w:t>
            </w:r>
          </w:p>
        </w:tc>
        <w:tc>
          <w:tcPr>
            <w:tcW w:w="1299"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61</w:t>
            </w:r>
            <w:r w:rsidR="006E392F">
              <w:rPr>
                <w:rFonts w:ascii="Calibri" w:eastAsia="Times New Roman" w:hAnsi="Calibri" w:cs="Calibri"/>
                <w:b/>
                <w:bCs/>
                <w:color w:val="0D0D0D"/>
                <w:sz w:val="20"/>
                <w:szCs w:val="20"/>
              </w:rPr>
              <w:t>9</w:t>
            </w:r>
          </w:p>
        </w:tc>
      </w:tr>
    </w:tbl>
    <w:p w:rsidR="004857A3" w:rsidRDefault="004857A3" w:rsidP="002E2815">
      <w:pPr>
        <w:rPr>
          <w:b/>
          <w:sz w:val="20"/>
          <w:szCs w:val="20"/>
        </w:rPr>
      </w:pPr>
      <w:r>
        <w:rPr>
          <w:b/>
          <w:sz w:val="20"/>
          <w:szCs w:val="20"/>
        </w:rPr>
        <w:t xml:space="preserve">                                                                                        </w:t>
      </w:r>
    </w:p>
    <w:p w:rsidR="004857A3" w:rsidRPr="00EB58AF" w:rsidRDefault="004857A3" w:rsidP="002E2815">
      <w:pPr>
        <w:rPr>
          <w:b/>
          <w:sz w:val="20"/>
          <w:szCs w:val="20"/>
        </w:rPr>
      </w:pPr>
      <w:r>
        <w:rPr>
          <w:b/>
          <w:sz w:val="20"/>
          <w:szCs w:val="20"/>
        </w:rPr>
        <w:t xml:space="preserve">                                                  Nested </w:t>
      </w:r>
      <w:r w:rsidRPr="00E83550">
        <w:rPr>
          <w:b/>
          <w:sz w:val="20"/>
          <w:szCs w:val="20"/>
        </w:rPr>
        <w:t>Hangar</w:t>
      </w:r>
      <w:r w:rsidRPr="00EB58AF">
        <w:rPr>
          <w:b/>
          <w:sz w:val="20"/>
          <w:szCs w:val="20"/>
        </w:rPr>
        <w:t xml:space="preserve"> Lease</w:t>
      </w:r>
    </w:p>
    <w:tbl>
      <w:tblPr>
        <w:tblW w:w="5682" w:type="dxa"/>
        <w:tblLook w:val="04A0" w:firstRow="1" w:lastRow="0" w:firstColumn="1" w:lastColumn="0" w:noHBand="0" w:noVBand="1"/>
      </w:tblPr>
      <w:tblGrid>
        <w:gridCol w:w="1790"/>
        <w:gridCol w:w="1297"/>
        <w:gridCol w:w="1296"/>
        <w:gridCol w:w="1299"/>
      </w:tblGrid>
      <w:tr w:rsidR="00CF32C7" w:rsidRPr="00EB58AF" w:rsidTr="00CF32C7">
        <w:trPr>
          <w:trHeight w:val="335"/>
        </w:trPr>
        <w:tc>
          <w:tcPr>
            <w:tcW w:w="1790" w:type="dxa"/>
            <w:tcBorders>
              <w:top w:val="nil"/>
              <w:left w:val="nil"/>
              <w:bottom w:val="nil"/>
              <w:right w:val="single" w:sz="4" w:space="0" w:color="auto"/>
            </w:tcBorders>
            <w:shd w:val="clear" w:color="auto" w:fill="auto"/>
            <w:noWrap/>
            <w:vAlign w:val="bottom"/>
            <w:hideMark/>
          </w:tcPr>
          <w:p w:rsidR="00CF32C7" w:rsidRPr="00EB58AF" w:rsidRDefault="00CF32C7" w:rsidP="00A31723">
            <w:pPr>
              <w:spacing w:after="0" w:line="240" w:lineRule="auto"/>
              <w:rPr>
                <w:rFonts w:ascii="Times New Roman" w:eastAsia="Times New Roman" w:hAnsi="Times New Roman" w:cs="Times New Roman"/>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2023</w:t>
            </w:r>
          </w:p>
        </w:tc>
        <w:tc>
          <w:tcPr>
            <w:tcW w:w="1296"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2024</w:t>
            </w:r>
          </w:p>
        </w:tc>
        <w:tc>
          <w:tcPr>
            <w:tcW w:w="1299"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213A5A">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2025</w:t>
            </w:r>
          </w:p>
        </w:tc>
      </w:tr>
      <w:tr w:rsidR="00CF32C7" w:rsidRPr="00EB58AF" w:rsidTr="00213A5A">
        <w:trPr>
          <w:trHeight w:val="335"/>
        </w:trPr>
        <w:tc>
          <w:tcPr>
            <w:tcW w:w="17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F32C7" w:rsidRPr="00EB58AF" w:rsidRDefault="00CF32C7" w:rsidP="00A31723">
            <w:pPr>
              <w:spacing w:after="0" w:line="240" w:lineRule="auto"/>
              <w:rPr>
                <w:rFonts w:ascii="Calibri" w:eastAsia="Times New Roman" w:hAnsi="Calibri" w:cs="Calibri"/>
                <w:color w:val="000000"/>
                <w:sz w:val="20"/>
                <w:szCs w:val="20"/>
              </w:rPr>
            </w:pPr>
            <w:r w:rsidRPr="00EB58AF">
              <w:rPr>
                <w:rFonts w:ascii="Calibri" w:eastAsia="Times New Roman" w:hAnsi="Calibri" w:cs="Calibri"/>
                <w:color w:val="000000"/>
                <w:sz w:val="20"/>
                <w:szCs w:val="20"/>
              </w:rPr>
              <w:t>CAF</w:t>
            </w:r>
          </w:p>
        </w:tc>
        <w:tc>
          <w:tcPr>
            <w:tcW w:w="1297" w:type="dxa"/>
            <w:tcBorders>
              <w:top w:val="single" w:sz="4" w:space="0" w:color="auto"/>
              <w:left w:val="nil"/>
              <w:bottom w:val="single" w:sz="4" w:space="0" w:color="auto"/>
              <w:right w:val="single" w:sz="4" w:space="0" w:color="auto"/>
            </w:tcBorders>
            <w:shd w:val="clear" w:color="000000" w:fill="FFFF00"/>
            <w:noWrap/>
            <w:vAlign w:val="bottom"/>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6"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9"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213A5A" w:rsidP="00213A5A">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r>
      <w:tr w:rsidR="00CF32C7" w:rsidRPr="00EB58AF" w:rsidTr="00CF32C7">
        <w:trPr>
          <w:trHeight w:val="141"/>
        </w:trPr>
        <w:tc>
          <w:tcPr>
            <w:tcW w:w="1790" w:type="dxa"/>
            <w:tcBorders>
              <w:top w:val="nil"/>
              <w:left w:val="single" w:sz="4" w:space="0" w:color="auto"/>
              <w:bottom w:val="single" w:sz="4" w:space="0" w:color="auto"/>
              <w:right w:val="single" w:sz="4" w:space="0" w:color="auto"/>
            </w:tcBorders>
            <w:shd w:val="clear" w:color="000000" w:fill="D0CECE"/>
            <w:noWrap/>
            <w:vAlign w:val="bottom"/>
            <w:hideMark/>
          </w:tcPr>
          <w:p w:rsidR="00CF32C7" w:rsidRPr="00EB58AF" w:rsidRDefault="00CF32C7" w:rsidP="00A31723">
            <w:pPr>
              <w:spacing w:after="0" w:line="240" w:lineRule="auto"/>
              <w:rPr>
                <w:rFonts w:ascii="Calibri" w:eastAsia="Times New Roman" w:hAnsi="Calibri" w:cs="Calibri"/>
                <w:color w:val="0D0D0D"/>
                <w:sz w:val="20"/>
                <w:szCs w:val="20"/>
              </w:rPr>
            </w:pPr>
            <w:r>
              <w:rPr>
                <w:rFonts w:ascii="Calibri" w:eastAsia="Times New Roman" w:hAnsi="Calibri" w:cs="Calibri"/>
                <w:color w:val="0D0D0D"/>
                <w:sz w:val="20"/>
                <w:szCs w:val="20"/>
              </w:rPr>
              <w:t xml:space="preserve">Base </w:t>
            </w:r>
            <w:r w:rsidRPr="00EB58AF">
              <w:rPr>
                <w:rFonts w:ascii="Calibri" w:eastAsia="Times New Roman" w:hAnsi="Calibri" w:cs="Calibri"/>
                <w:color w:val="0D0D0D"/>
                <w:sz w:val="20"/>
                <w:szCs w:val="20"/>
              </w:rPr>
              <w:t>Price/</w:t>
            </w:r>
            <w:proofErr w:type="spellStart"/>
            <w:r w:rsidRPr="00EB58AF">
              <w:rPr>
                <w:rFonts w:ascii="Calibri" w:eastAsia="Times New Roman" w:hAnsi="Calibri" w:cs="Calibri"/>
                <w:color w:val="0D0D0D"/>
                <w:sz w:val="20"/>
                <w:szCs w:val="20"/>
              </w:rPr>
              <w:t>Sqf</w:t>
            </w:r>
            <w:proofErr w:type="spellEnd"/>
          </w:p>
        </w:tc>
        <w:tc>
          <w:tcPr>
            <w:tcW w:w="1297"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85</w:t>
            </w:r>
            <w:r w:rsidR="006E392F">
              <w:rPr>
                <w:rFonts w:ascii="Calibri" w:eastAsia="Times New Roman" w:hAnsi="Calibri" w:cs="Calibri"/>
                <w:b/>
                <w:bCs/>
                <w:color w:val="0D0D0D"/>
                <w:sz w:val="20"/>
                <w:szCs w:val="20"/>
              </w:rPr>
              <w:t>6</w:t>
            </w:r>
          </w:p>
        </w:tc>
        <w:tc>
          <w:tcPr>
            <w:tcW w:w="1296"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8</w:t>
            </w:r>
            <w:r w:rsidR="006E392F">
              <w:rPr>
                <w:rFonts w:ascii="Calibri" w:eastAsia="Times New Roman" w:hAnsi="Calibri" w:cs="Calibri"/>
                <w:b/>
                <w:bCs/>
                <w:color w:val="0D0D0D"/>
                <w:sz w:val="20"/>
                <w:szCs w:val="20"/>
              </w:rPr>
              <w:t>94</w:t>
            </w:r>
          </w:p>
        </w:tc>
        <w:tc>
          <w:tcPr>
            <w:tcW w:w="1299"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9</w:t>
            </w:r>
            <w:r w:rsidR="006E392F">
              <w:rPr>
                <w:rFonts w:ascii="Calibri" w:eastAsia="Times New Roman" w:hAnsi="Calibri" w:cs="Calibri"/>
                <w:b/>
                <w:bCs/>
                <w:color w:val="0D0D0D"/>
                <w:sz w:val="20"/>
                <w:szCs w:val="20"/>
              </w:rPr>
              <w:t>33</w:t>
            </w:r>
          </w:p>
        </w:tc>
      </w:tr>
    </w:tbl>
    <w:p w:rsidR="002070FA" w:rsidRDefault="00E312A8" w:rsidP="00E312A8">
      <w:pPr>
        <w:spacing w:after="200" w:line="240" w:lineRule="auto"/>
      </w:pPr>
      <w:r>
        <w:t xml:space="preserve">                                         </w:t>
      </w:r>
      <w:r w:rsidR="00213A5A">
        <w:t xml:space="preserve">  </w:t>
      </w:r>
      <w:r>
        <w:t xml:space="preserve">    EXHIBIT “A”</w:t>
      </w:r>
    </w:p>
    <w:p w:rsidR="004857A3" w:rsidRPr="002070FA" w:rsidRDefault="002070FA" w:rsidP="004857A3">
      <w:pPr>
        <w:spacing w:before="0" w:after="200" w:line="276" w:lineRule="auto"/>
        <w:rPr>
          <w:b/>
          <w:u w:val="single"/>
        </w:rPr>
      </w:pPr>
      <w:r w:rsidRPr="002070FA">
        <w:rPr>
          <w:b/>
          <w:sz w:val="20"/>
          <w:szCs w:val="20"/>
        </w:rPr>
        <w:t xml:space="preserve">                 </w:t>
      </w:r>
      <w:r w:rsidR="004857A3" w:rsidRPr="002070FA">
        <w:rPr>
          <w:b/>
          <w:sz w:val="20"/>
          <w:szCs w:val="20"/>
        </w:rPr>
        <w:t xml:space="preserve"> </w:t>
      </w:r>
      <w:r>
        <w:rPr>
          <w:b/>
          <w:sz w:val="20"/>
          <w:szCs w:val="20"/>
        </w:rPr>
        <w:t xml:space="preserve">                                 </w:t>
      </w:r>
      <w:r w:rsidR="004857A3" w:rsidRPr="002070FA">
        <w:rPr>
          <w:b/>
          <w:u w:val="single"/>
        </w:rPr>
        <w:t>NON-AERONAUTICAL CPI &amp; CAF</w:t>
      </w:r>
    </w:p>
    <w:p w:rsidR="004857A3" w:rsidRDefault="004857A3" w:rsidP="004857A3">
      <w:pPr>
        <w:spacing w:before="0" w:after="200" w:line="276" w:lineRule="auto"/>
        <w:rPr>
          <w:sz w:val="20"/>
          <w:szCs w:val="20"/>
        </w:rPr>
      </w:pPr>
      <w:r w:rsidRPr="005C14A9">
        <w:rPr>
          <w:bCs/>
        </w:rPr>
        <w:t>On</w:t>
      </w:r>
      <w:r w:rsidRPr="005C14A9">
        <w:t xml:space="preserve"> the first anniversary of the Commencement Date, and each anniversary thereafter, the Base Rent shall be increased by the current County Adjustment Factor. This will determine the new “Base Rent” for the new year. The County "Adjustment Factor" shall be a percentage calculated as follows: Beginning January 1, 202</w:t>
      </w:r>
      <w:r w:rsidR="000A2711">
        <w:t>3</w:t>
      </w:r>
      <w:r w:rsidRPr="005C14A9">
        <w:t xml:space="preserve">, and every </w:t>
      </w:r>
      <w:r w:rsidR="000A2711">
        <w:t>three</w:t>
      </w:r>
      <w:r w:rsidRPr="005C14A9">
        <w:t xml:space="preserve"> (</w:t>
      </w:r>
      <w:r w:rsidR="000A2711">
        <w:t>3</w:t>
      </w:r>
      <w:r w:rsidRPr="005C14A9">
        <w:t xml:space="preserve">) year period thereafter, the annual rent increase shall be determined by calculating the average annual California Consumer Price Index for all areas and all consumers as reported by the State of California, Department of Industrial Relations ("CPI"), for the preceding </w:t>
      </w:r>
      <w:r w:rsidR="000A2711">
        <w:t>three</w:t>
      </w:r>
      <w:r w:rsidRPr="005C14A9">
        <w:t xml:space="preserve"> (</w:t>
      </w:r>
      <w:r w:rsidR="000A2711">
        <w:t>3</w:t>
      </w:r>
      <w:r w:rsidRPr="005C14A9">
        <w:t xml:space="preserve">) years, with the resulting adjusted CPI applied for that year and the </w:t>
      </w:r>
      <w:r w:rsidR="000A2711">
        <w:t>two</w:t>
      </w:r>
      <w:r w:rsidRPr="005C14A9">
        <w:t xml:space="preserve"> (</w:t>
      </w:r>
      <w:r w:rsidR="000A2711">
        <w:t>2</w:t>
      </w:r>
      <w:r w:rsidRPr="005C14A9">
        <w:t xml:space="preserve">) years that follow. however, the Adjustment Factor shall not be less than one percent (1%) nor more than </w:t>
      </w:r>
      <w:r w:rsidR="0067521D">
        <w:t>six</w:t>
      </w:r>
      <w:r w:rsidRPr="005C14A9">
        <w:t xml:space="preserve"> percent (</w:t>
      </w:r>
      <w:r w:rsidR="000A2711">
        <w:t>6</w:t>
      </w:r>
      <w:r w:rsidRPr="005C14A9">
        <w:t xml:space="preserve">%). </w:t>
      </w:r>
      <w:r w:rsidRPr="005C14A9">
        <w:rPr>
          <w:bCs/>
        </w:rPr>
        <w:t>The rental amount rate schedule for this is through December 31</w:t>
      </w:r>
      <w:r w:rsidRPr="005C14A9">
        <w:rPr>
          <w:bCs/>
          <w:vertAlign w:val="superscript"/>
        </w:rPr>
        <w:t>st</w:t>
      </w:r>
      <w:r w:rsidRPr="005C14A9">
        <w:rPr>
          <w:bCs/>
        </w:rPr>
        <w:t xml:space="preserve"> of the year preceding the next Adjustment Factor calculation date. </w:t>
      </w:r>
      <w:r>
        <w:rPr>
          <w:sz w:val="20"/>
          <w:szCs w:val="20"/>
        </w:rPr>
        <w:t xml:space="preserve">                                                                                         </w:t>
      </w:r>
    </w:p>
    <w:p w:rsidR="004857A3" w:rsidRPr="00EB58AF" w:rsidRDefault="004857A3">
      <w:pPr>
        <w:rPr>
          <w:b/>
          <w:sz w:val="20"/>
          <w:szCs w:val="20"/>
        </w:rPr>
      </w:pPr>
      <w:r>
        <w:rPr>
          <w:sz w:val="20"/>
          <w:szCs w:val="20"/>
        </w:rPr>
        <w:t xml:space="preserve">                                                 </w:t>
      </w:r>
      <w:r w:rsidRPr="00BB0825">
        <w:rPr>
          <w:b/>
          <w:sz w:val="20"/>
          <w:szCs w:val="20"/>
        </w:rPr>
        <w:t>Agriculture</w:t>
      </w:r>
      <w:r w:rsidRPr="00EB58AF">
        <w:rPr>
          <w:b/>
          <w:sz w:val="20"/>
          <w:szCs w:val="20"/>
        </w:rPr>
        <w:t xml:space="preserve"> Lease</w:t>
      </w:r>
    </w:p>
    <w:tbl>
      <w:tblPr>
        <w:tblpPr w:leftFromText="180" w:rightFromText="180" w:vertAnchor="text" w:tblpY="1"/>
        <w:tblOverlap w:val="never"/>
        <w:tblW w:w="5686" w:type="dxa"/>
        <w:tblLook w:val="04A0" w:firstRow="1" w:lastRow="0" w:firstColumn="1" w:lastColumn="0" w:noHBand="0" w:noVBand="1"/>
      </w:tblPr>
      <w:tblGrid>
        <w:gridCol w:w="1791"/>
        <w:gridCol w:w="1298"/>
        <w:gridCol w:w="1297"/>
        <w:gridCol w:w="1300"/>
      </w:tblGrid>
      <w:tr w:rsidR="00CF32C7" w:rsidRPr="00EB58AF" w:rsidTr="00CF32C7">
        <w:trPr>
          <w:trHeight w:val="331"/>
        </w:trPr>
        <w:tc>
          <w:tcPr>
            <w:tcW w:w="1791" w:type="dxa"/>
            <w:tcBorders>
              <w:top w:val="nil"/>
              <w:left w:val="nil"/>
              <w:bottom w:val="nil"/>
              <w:right w:val="single" w:sz="4" w:space="0" w:color="auto"/>
            </w:tcBorders>
            <w:shd w:val="clear" w:color="auto" w:fill="auto"/>
            <w:noWrap/>
            <w:vAlign w:val="bottom"/>
            <w:hideMark/>
          </w:tcPr>
          <w:p w:rsidR="00CF32C7" w:rsidRPr="00EB58AF" w:rsidRDefault="00CF32C7" w:rsidP="00CF32C7">
            <w:pPr>
              <w:spacing w:after="0" w:line="240" w:lineRule="auto"/>
              <w:rPr>
                <w:rFonts w:ascii="Times New Roman" w:eastAsia="Times New Roman" w:hAnsi="Times New Roman" w:cs="Times New Roman"/>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2023</w:t>
            </w:r>
          </w:p>
        </w:tc>
        <w:tc>
          <w:tcPr>
            <w:tcW w:w="1297"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2024</w:t>
            </w:r>
          </w:p>
        </w:tc>
        <w:tc>
          <w:tcPr>
            <w:tcW w:w="1300"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2025</w:t>
            </w:r>
          </w:p>
        </w:tc>
      </w:tr>
      <w:tr w:rsidR="00CF32C7" w:rsidRPr="00EB58AF" w:rsidTr="00CF32C7">
        <w:trPr>
          <w:trHeight w:val="331"/>
        </w:trPr>
        <w:tc>
          <w:tcPr>
            <w:tcW w:w="1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F32C7" w:rsidRPr="00EB58AF" w:rsidRDefault="00CF32C7" w:rsidP="00CF32C7">
            <w:pPr>
              <w:spacing w:after="0" w:line="240" w:lineRule="auto"/>
              <w:rPr>
                <w:rFonts w:ascii="Calibri" w:eastAsia="Times New Roman" w:hAnsi="Calibri" w:cs="Calibri"/>
                <w:color w:val="000000"/>
                <w:sz w:val="20"/>
                <w:szCs w:val="20"/>
              </w:rPr>
            </w:pPr>
            <w:r w:rsidRPr="00EB58AF">
              <w:rPr>
                <w:rFonts w:ascii="Calibri" w:eastAsia="Times New Roman" w:hAnsi="Calibri" w:cs="Calibri"/>
                <w:color w:val="000000"/>
                <w:sz w:val="20"/>
                <w:szCs w:val="20"/>
              </w:rPr>
              <w:t>CAF</w:t>
            </w:r>
          </w:p>
        </w:tc>
        <w:tc>
          <w:tcPr>
            <w:tcW w:w="1298"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7"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300"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r>
      <w:tr w:rsidR="00CF32C7" w:rsidRPr="00EB58AF" w:rsidTr="00CF32C7">
        <w:trPr>
          <w:trHeight w:val="139"/>
        </w:trPr>
        <w:tc>
          <w:tcPr>
            <w:tcW w:w="1791" w:type="dxa"/>
            <w:tcBorders>
              <w:top w:val="nil"/>
              <w:left w:val="single" w:sz="4" w:space="0" w:color="auto"/>
              <w:bottom w:val="single" w:sz="4" w:space="0" w:color="auto"/>
              <w:right w:val="single" w:sz="4" w:space="0" w:color="auto"/>
            </w:tcBorders>
            <w:shd w:val="clear" w:color="000000" w:fill="D0CECE"/>
            <w:noWrap/>
            <w:vAlign w:val="bottom"/>
            <w:hideMark/>
          </w:tcPr>
          <w:p w:rsidR="00CF32C7" w:rsidRPr="00EB58AF" w:rsidRDefault="00CF32C7" w:rsidP="00CF32C7">
            <w:pPr>
              <w:spacing w:after="0" w:line="240" w:lineRule="auto"/>
              <w:rPr>
                <w:rFonts w:ascii="Calibri" w:eastAsia="Times New Roman" w:hAnsi="Calibri" w:cs="Calibri"/>
                <w:color w:val="0D0D0D"/>
                <w:sz w:val="20"/>
                <w:szCs w:val="20"/>
              </w:rPr>
            </w:pPr>
            <w:r>
              <w:rPr>
                <w:rFonts w:ascii="Calibri" w:eastAsia="Times New Roman" w:hAnsi="Calibri" w:cs="Calibri"/>
                <w:color w:val="0D0D0D"/>
                <w:sz w:val="20"/>
                <w:szCs w:val="20"/>
              </w:rPr>
              <w:t xml:space="preserve">Base </w:t>
            </w:r>
            <w:r w:rsidRPr="00EB58AF">
              <w:rPr>
                <w:rFonts w:ascii="Calibri" w:eastAsia="Times New Roman" w:hAnsi="Calibri" w:cs="Calibri"/>
                <w:color w:val="0D0D0D"/>
                <w:sz w:val="20"/>
                <w:szCs w:val="20"/>
              </w:rPr>
              <w:t>Price/</w:t>
            </w:r>
            <w:r>
              <w:rPr>
                <w:rFonts w:ascii="Calibri" w:eastAsia="Times New Roman" w:hAnsi="Calibri" w:cs="Calibri"/>
                <w:color w:val="0D0D0D"/>
                <w:sz w:val="20"/>
                <w:szCs w:val="20"/>
              </w:rPr>
              <w:t>Acre</w:t>
            </w:r>
          </w:p>
        </w:tc>
        <w:tc>
          <w:tcPr>
            <w:tcW w:w="1298"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w:t>
            </w:r>
            <w:r>
              <w:rPr>
                <w:rFonts w:ascii="Calibri" w:eastAsia="Times New Roman" w:hAnsi="Calibri" w:cs="Calibri"/>
                <w:b/>
                <w:bCs/>
                <w:color w:val="0D0D0D"/>
                <w:sz w:val="20"/>
                <w:szCs w:val="20"/>
              </w:rPr>
              <w:t>29.</w:t>
            </w:r>
            <w:r w:rsidR="006E392F">
              <w:rPr>
                <w:rFonts w:ascii="Calibri" w:eastAsia="Times New Roman" w:hAnsi="Calibri" w:cs="Calibri"/>
                <w:b/>
                <w:bCs/>
                <w:color w:val="0D0D0D"/>
                <w:sz w:val="20"/>
                <w:szCs w:val="20"/>
              </w:rPr>
              <w:t>740</w:t>
            </w:r>
          </w:p>
        </w:tc>
        <w:tc>
          <w:tcPr>
            <w:tcW w:w="1297"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w:t>
            </w:r>
            <w:r>
              <w:rPr>
                <w:rFonts w:ascii="Calibri" w:eastAsia="Times New Roman" w:hAnsi="Calibri" w:cs="Calibri"/>
                <w:b/>
                <w:bCs/>
                <w:color w:val="0D0D0D"/>
                <w:sz w:val="20"/>
                <w:szCs w:val="20"/>
              </w:rPr>
              <w:t>3</w:t>
            </w:r>
            <w:r w:rsidR="006E392F">
              <w:rPr>
                <w:rFonts w:ascii="Calibri" w:eastAsia="Times New Roman" w:hAnsi="Calibri" w:cs="Calibri"/>
                <w:b/>
                <w:bCs/>
                <w:color w:val="0D0D0D"/>
                <w:sz w:val="20"/>
                <w:szCs w:val="20"/>
              </w:rPr>
              <w:t>1</w:t>
            </w:r>
            <w:r w:rsidRPr="00EB58AF">
              <w:rPr>
                <w:rFonts w:ascii="Calibri" w:eastAsia="Times New Roman" w:hAnsi="Calibri" w:cs="Calibri"/>
                <w:b/>
                <w:bCs/>
                <w:color w:val="0D0D0D"/>
                <w:sz w:val="20"/>
                <w:szCs w:val="20"/>
              </w:rPr>
              <w:t>.</w:t>
            </w:r>
            <w:r w:rsidR="006E392F">
              <w:rPr>
                <w:rFonts w:ascii="Calibri" w:eastAsia="Times New Roman" w:hAnsi="Calibri" w:cs="Calibri"/>
                <w:b/>
                <w:bCs/>
                <w:color w:val="0D0D0D"/>
                <w:sz w:val="20"/>
                <w:szCs w:val="20"/>
              </w:rPr>
              <w:t>053</w:t>
            </w:r>
          </w:p>
        </w:tc>
        <w:tc>
          <w:tcPr>
            <w:tcW w:w="1300"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w:t>
            </w:r>
            <w:r>
              <w:rPr>
                <w:rFonts w:ascii="Calibri" w:eastAsia="Times New Roman" w:hAnsi="Calibri" w:cs="Calibri"/>
                <w:b/>
                <w:bCs/>
                <w:color w:val="0D0D0D"/>
                <w:sz w:val="20"/>
                <w:szCs w:val="20"/>
              </w:rPr>
              <w:t>32</w:t>
            </w:r>
            <w:r w:rsidRPr="00EB58AF">
              <w:rPr>
                <w:rFonts w:ascii="Calibri" w:eastAsia="Times New Roman" w:hAnsi="Calibri" w:cs="Calibri"/>
                <w:b/>
                <w:bCs/>
                <w:color w:val="0D0D0D"/>
                <w:sz w:val="20"/>
                <w:szCs w:val="20"/>
              </w:rPr>
              <w:t>.</w:t>
            </w:r>
            <w:r w:rsidR="006E392F">
              <w:rPr>
                <w:rFonts w:ascii="Calibri" w:eastAsia="Times New Roman" w:hAnsi="Calibri" w:cs="Calibri"/>
                <w:b/>
                <w:bCs/>
                <w:color w:val="0D0D0D"/>
                <w:sz w:val="20"/>
                <w:szCs w:val="20"/>
              </w:rPr>
              <w:t>424</w:t>
            </w:r>
          </w:p>
        </w:tc>
      </w:tr>
    </w:tbl>
    <w:p w:rsidR="004857A3" w:rsidRPr="00D4443E" w:rsidRDefault="00CF32C7" w:rsidP="00E83550">
      <w:pPr>
        <w:rPr>
          <w:sz w:val="18"/>
          <w:szCs w:val="18"/>
        </w:rPr>
      </w:pPr>
      <w:r>
        <w:br w:type="textWrapping" w:clear="all"/>
      </w:r>
      <w:r w:rsidR="004857A3" w:rsidRPr="00444029">
        <w:t xml:space="preserve">                           </w:t>
      </w:r>
      <w:r w:rsidR="004857A3">
        <w:t xml:space="preserve">                                    </w:t>
      </w:r>
      <w:r w:rsidR="004857A3" w:rsidRPr="00D4443E">
        <w:rPr>
          <w:sz w:val="18"/>
          <w:szCs w:val="18"/>
        </w:rPr>
        <w:t xml:space="preserve">                                                  </w:t>
      </w:r>
    </w:p>
    <w:p w:rsidR="004857A3" w:rsidRPr="00EB58AF" w:rsidRDefault="004857A3" w:rsidP="00E83550">
      <w:pPr>
        <w:rPr>
          <w:b/>
          <w:sz w:val="20"/>
          <w:szCs w:val="20"/>
        </w:rPr>
      </w:pPr>
      <w:r>
        <w:rPr>
          <w:sz w:val="20"/>
          <w:szCs w:val="20"/>
        </w:rPr>
        <w:t xml:space="preserve">                                             </w:t>
      </w:r>
      <w:r w:rsidRPr="00BB0825">
        <w:rPr>
          <w:b/>
          <w:sz w:val="20"/>
          <w:szCs w:val="20"/>
        </w:rPr>
        <w:t>Undeveloped Land</w:t>
      </w:r>
      <w:r w:rsidRPr="00EB58AF">
        <w:rPr>
          <w:b/>
          <w:sz w:val="20"/>
          <w:szCs w:val="20"/>
        </w:rPr>
        <w:t xml:space="preserve"> Lease</w:t>
      </w:r>
    </w:p>
    <w:tbl>
      <w:tblPr>
        <w:tblW w:w="5682" w:type="dxa"/>
        <w:tblLook w:val="04A0" w:firstRow="1" w:lastRow="0" w:firstColumn="1" w:lastColumn="0" w:noHBand="0" w:noVBand="1"/>
      </w:tblPr>
      <w:tblGrid>
        <w:gridCol w:w="1790"/>
        <w:gridCol w:w="1297"/>
        <w:gridCol w:w="1296"/>
        <w:gridCol w:w="1299"/>
      </w:tblGrid>
      <w:tr w:rsidR="00CF32C7" w:rsidRPr="00EB58AF" w:rsidTr="00CF32C7">
        <w:trPr>
          <w:trHeight w:val="335"/>
        </w:trPr>
        <w:tc>
          <w:tcPr>
            <w:tcW w:w="1790" w:type="dxa"/>
            <w:tcBorders>
              <w:top w:val="nil"/>
              <w:left w:val="nil"/>
              <w:bottom w:val="nil"/>
              <w:right w:val="single" w:sz="4" w:space="0" w:color="auto"/>
            </w:tcBorders>
            <w:shd w:val="clear" w:color="auto" w:fill="auto"/>
            <w:noWrap/>
            <w:vAlign w:val="bottom"/>
            <w:hideMark/>
          </w:tcPr>
          <w:p w:rsidR="00CF32C7" w:rsidRPr="00EB58AF" w:rsidRDefault="00CF32C7" w:rsidP="00A31723">
            <w:pPr>
              <w:spacing w:after="0" w:line="240" w:lineRule="auto"/>
              <w:rPr>
                <w:rFonts w:ascii="Times New Roman" w:eastAsia="Times New Roman" w:hAnsi="Times New Roman" w:cs="Times New Roman"/>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2023</w:t>
            </w:r>
          </w:p>
        </w:tc>
        <w:tc>
          <w:tcPr>
            <w:tcW w:w="1296"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2024</w:t>
            </w:r>
          </w:p>
        </w:tc>
        <w:tc>
          <w:tcPr>
            <w:tcW w:w="1299"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2025</w:t>
            </w:r>
          </w:p>
        </w:tc>
      </w:tr>
      <w:tr w:rsidR="00CF32C7" w:rsidRPr="00EB58AF" w:rsidTr="00CF32C7">
        <w:trPr>
          <w:trHeight w:val="335"/>
        </w:trPr>
        <w:tc>
          <w:tcPr>
            <w:tcW w:w="17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F32C7" w:rsidRPr="00EB58AF" w:rsidRDefault="00CF32C7" w:rsidP="00A31723">
            <w:pPr>
              <w:spacing w:after="0" w:line="240" w:lineRule="auto"/>
              <w:rPr>
                <w:rFonts w:ascii="Calibri" w:eastAsia="Times New Roman" w:hAnsi="Calibri" w:cs="Calibri"/>
                <w:color w:val="000000"/>
                <w:sz w:val="20"/>
                <w:szCs w:val="20"/>
              </w:rPr>
            </w:pPr>
            <w:r w:rsidRPr="00EB58AF">
              <w:rPr>
                <w:rFonts w:ascii="Calibri" w:eastAsia="Times New Roman" w:hAnsi="Calibri" w:cs="Calibri"/>
                <w:color w:val="000000"/>
                <w:sz w:val="20"/>
                <w:szCs w:val="20"/>
              </w:rPr>
              <w:t>CAF</w:t>
            </w:r>
          </w:p>
        </w:tc>
        <w:tc>
          <w:tcPr>
            <w:tcW w:w="1297"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6"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9"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r>
      <w:tr w:rsidR="00CF32C7" w:rsidRPr="00EB58AF" w:rsidTr="00CF32C7">
        <w:trPr>
          <w:trHeight w:val="141"/>
        </w:trPr>
        <w:tc>
          <w:tcPr>
            <w:tcW w:w="1790" w:type="dxa"/>
            <w:tcBorders>
              <w:top w:val="nil"/>
              <w:left w:val="single" w:sz="4" w:space="0" w:color="auto"/>
              <w:bottom w:val="single" w:sz="4" w:space="0" w:color="auto"/>
              <w:right w:val="single" w:sz="4" w:space="0" w:color="auto"/>
            </w:tcBorders>
            <w:shd w:val="clear" w:color="000000" w:fill="D0CECE"/>
            <w:noWrap/>
            <w:vAlign w:val="bottom"/>
            <w:hideMark/>
          </w:tcPr>
          <w:p w:rsidR="00CF32C7" w:rsidRPr="00EB58AF" w:rsidRDefault="00CF32C7" w:rsidP="00A31723">
            <w:pPr>
              <w:spacing w:after="0" w:line="240" w:lineRule="auto"/>
              <w:rPr>
                <w:rFonts w:ascii="Calibri" w:eastAsia="Times New Roman" w:hAnsi="Calibri" w:cs="Calibri"/>
                <w:color w:val="0D0D0D"/>
                <w:sz w:val="20"/>
                <w:szCs w:val="20"/>
              </w:rPr>
            </w:pPr>
            <w:r>
              <w:rPr>
                <w:rFonts w:ascii="Calibri" w:eastAsia="Times New Roman" w:hAnsi="Calibri" w:cs="Calibri"/>
                <w:color w:val="0D0D0D"/>
                <w:sz w:val="20"/>
                <w:szCs w:val="20"/>
              </w:rPr>
              <w:t xml:space="preserve">Base </w:t>
            </w:r>
            <w:r w:rsidRPr="00EB58AF">
              <w:rPr>
                <w:rFonts w:ascii="Calibri" w:eastAsia="Times New Roman" w:hAnsi="Calibri" w:cs="Calibri"/>
                <w:color w:val="0D0D0D"/>
                <w:sz w:val="20"/>
                <w:szCs w:val="20"/>
              </w:rPr>
              <w:t>Price/</w:t>
            </w:r>
            <w:proofErr w:type="spellStart"/>
            <w:r w:rsidRPr="00EB58AF">
              <w:rPr>
                <w:rFonts w:ascii="Calibri" w:eastAsia="Times New Roman" w:hAnsi="Calibri" w:cs="Calibri"/>
                <w:color w:val="0D0D0D"/>
                <w:sz w:val="20"/>
                <w:szCs w:val="20"/>
              </w:rPr>
              <w:t>Sqf</w:t>
            </w:r>
            <w:proofErr w:type="spellEnd"/>
          </w:p>
        </w:tc>
        <w:tc>
          <w:tcPr>
            <w:tcW w:w="1297"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15</w:t>
            </w:r>
            <w:r w:rsidR="006E392F">
              <w:rPr>
                <w:rFonts w:ascii="Calibri" w:eastAsia="Times New Roman" w:hAnsi="Calibri" w:cs="Calibri"/>
                <w:b/>
                <w:bCs/>
                <w:color w:val="0D0D0D"/>
                <w:sz w:val="20"/>
                <w:szCs w:val="20"/>
              </w:rPr>
              <w:t>7</w:t>
            </w:r>
          </w:p>
        </w:tc>
        <w:tc>
          <w:tcPr>
            <w:tcW w:w="1296"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16</w:t>
            </w:r>
            <w:r w:rsidR="006E392F">
              <w:rPr>
                <w:rFonts w:ascii="Calibri" w:eastAsia="Times New Roman" w:hAnsi="Calibri" w:cs="Calibri"/>
                <w:b/>
                <w:bCs/>
                <w:color w:val="0D0D0D"/>
                <w:sz w:val="20"/>
                <w:szCs w:val="20"/>
              </w:rPr>
              <w:t>4</w:t>
            </w:r>
          </w:p>
        </w:tc>
        <w:tc>
          <w:tcPr>
            <w:tcW w:w="1299"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1</w:t>
            </w:r>
            <w:r w:rsidR="006E392F">
              <w:rPr>
                <w:rFonts w:ascii="Calibri" w:eastAsia="Times New Roman" w:hAnsi="Calibri" w:cs="Calibri"/>
                <w:b/>
                <w:bCs/>
                <w:color w:val="0D0D0D"/>
                <w:sz w:val="20"/>
                <w:szCs w:val="20"/>
              </w:rPr>
              <w:t>71</w:t>
            </w:r>
          </w:p>
        </w:tc>
      </w:tr>
    </w:tbl>
    <w:p w:rsidR="004857A3" w:rsidRDefault="004857A3" w:rsidP="002E2815">
      <w:pPr>
        <w:rPr>
          <w:b/>
          <w:sz w:val="20"/>
          <w:szCs w:val="20"/>
        </w:rPr>
      </w:pPr>
    </w:p>
    <w:p w:rsidR="004857A3" w:rsidRPr="00EB58AF" w:rsidRDefault="004857A3" w:rsidP="002E2815">
      <w:pPr>
        <w:rPr>
          <w:b/>
          <w:sz w:val="20"/>
          <w:szCs w:val="20"/>
        </w:rPr>
      </w:pPr>
      <w:r>
        <w:rPr>
          <w:b/>
          <w:sz w:val="20"/>
          <w:szCs w:val="20"/>
        </w:rPr>
        <w:t xml:space="preserve">                                                          Bunker</w:t>
      </w:r>
    </w:p>
    <w:tbl>
      <w:tblPr>
        <w:tblW w:w="5682" w:type="dxa"/>
        <w:tblLook w:val="04A0" w:firstRow="1" w:lastRow="0" w:firstColumn="1" w:lastColumn="0" w:noHBand="0" w:noVBand="1"/>
      </w:tblPr>
      <w:tblGrid>
        <w:gridCol w:w="1790"/>
        <w:gridCol w:w="1297"/>
        <w:gridCol w:w="1296"/>
        <w:gridCol w:w="1299"/>
      </w:tblGrid>
      <w:tr w:rsidR="00CF32C7" w:rsidRPr="00EB58AF" w:rsidTr="00CF32C7">
        <w:trPr>
          <w:trHeight w:val="335"/>
        </w:trPr>
        <w:tc>
          <w:tcPr>
            <w:tcW w:w="1790" w:type="dxa"/>
            <w:tcBorders>
              <w:top w:val="nil"/>
              <w:left w:val="nil"/>
              <w:bottom w:val="nil"/>
              <w:right w:val="single" w:sz="4" w:space="0" w:color="auto"/>
            </w:tcBorders>
            <w:shd w:val="clear" w:color="auto" w:fill="auto"/>
            <w:noWrap/>
            <w:vAlign w:val="bottom"/>
            <w:hideMark/>
          </w:tcPr>
          <w:p w:rsidR="00CF32C7" w:rsidRPr="00EB58AF" w:rsidRDefault="00CF32C7" w:rsidP="00A31723">
            <w:pPr>
              <w:spacing w:after="0" w:line="240" w:lineRule="auto"/>
              <w:rPr>
                <w:rFonts w:ascii="Times New Roman" w:eastAsia="Times New Roman" w:hAnsi="Times New Roman" w:cs="Times New Roman"/>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2023</w:t>
            </w:r>
          </w:p>
        </w:tc>
        <w:tc>
          <w:tcPr>
            <w:tcW w:w="1296"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2024</w:t>
            </w:r>
          </w:p>
        </w:tc>
        <w:tc>
          <w:tcPr>
            <w:tcW w:w="1299"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2025</w:t>
            </w:r>
          </w:p>
        </w:tc>
      </w:tr>
      <w:tr w:rsidR="00CF32C7" w:rsidRPr="00EB58AF" w:rsidTr="00CF32C7">
        <w:trPr>
          <w:trHeight w:val="335"/>
        </w:trPr>
        <w:tc>
          <w:tcPr>
            <w:tcW w:w="17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F32C7" w:rsidRPr="00DD4683" w:rsidRDefault="00DD4683" w:rsidP="00057FF1">
            <w:pPr>
              <w:spacing w:after="0" w:line="240" w:lineRule="auto"/>
              <w:rPr>
                <w:rFonts w:ascii="Calibri" w:eastAsia="Times New Roman" w:hAnsi="Calibri" w:cs="Calibri"/>
                <w:b/>
                <w:color w:val="000000"/>
                <w:sz w:val="16"/>
                <w:szCs w:val="16"/>
              </w:rPr>
            </w:pPr>
            <w:r>
              <w:rPr>
                <w:rFonts w:ascii="Calibri" w:eastAsia="Times New Roman" w:hAnsi="Calibri" w:cs="Calibri"/>
                <w:b/>
                <w:color w:val="000000"/>
                <w:sz w:val="16"/>
                <w:szCs w:val="16"/>
              </w:rPr>
              <w:t xml:space="preserve">  </w:t>
            </w:r>
            <w:r w:rsidR="00057FF1" w:rsidRPr="00DD4683">
              <w:rPr>
                <w:rFonts w:ascii="Calibri" w:eastAsia="Times New Roman" w:hAnsi="Calibri" w:cs="Calibri"/>
                <w:b/>
                <w:color w:val="000000"/>
                <w:sz w:val="16"/>
                <w:szCs w:val="16"/>
              </w:rPr>
              <w:t>Fair Market Rate</w:t>
            </w:r>
            <w:r w:rsidRPr="00DD4683">
              <w:rPr>
                <w:rFonts w:ascii="Calibri" w:eastAsia="Times New Roman" w:hAnsi="Calibri" w:cs="Calibri"/>
                <w:b/>
                <w:color w:val="000000"/>
                <w:sz w:val="16"/>
                <w:szCs w:val="16"/>
              </w:rPr>
              <w:t xml:space="preserve"> $150.00 to $110.00</w:t>
            </w:r>
          </w:p>
        </w:tc>
        <w:tc>
          <w:tcPr>
            <w:tcW w:w="1297"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04BA" w:rsidRDefault="00CF32C7" w:rsidP="00EB04BA">
            <w:pPr>
              <w:spacing w:before="0" w:after="0" w:line="480" w:lineRule="auto"/>
              <w:jc w:val="center"/>
              <w:rPr>
                <w:rFonts w:ascii="Calibri" w:eastAsia="Times New Roman" w:hAnsi="Calibri" w:cs="Calibri"/>
                <w:b/>
                <w:color w:val="000000"/>
                <w:sz w:val="16"/>
                <w:szCs w:val="16"/>
              </w:rPr>
            </w:pPr>
          </w:p>
        </w:tc>
        <w:tc>
          <w:tcPr>
            <w:tcW w:w="1296"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AA6219" w:rsidRDefault="00CF32C7" w:rsidP="00EB04BA">
            <w:pPr>
              <w:spacing w:after="0" w:line="360" w:lineRule="auto"/>
              <w:jc w:val="center"/>
              <w:rPr>
                <w:rFonts w:ascii="Calibri" w:eastAsia="Times New Roman" w:hAnsi="Calibri" w:cs="Calibri"/>
                <w:color w:val="000000"/>
                <w:sz w:val="20"/>
                <w:szCs w:val="20"/>
              </w:rPr>
            </w:pPr>
          </w:p>
        </w:tc>
        <w:tc>
          <w:tcPr>
            <w:tcW w:w="1299"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AA6219" w:rsidRDefault="00CF32C7" w:rsidP="00EB04BA">
            <w:pPr>
              <w:spacing w:before="0" w:after="0" w:line="480" w:lineRule="auto"/>
              <w:jc w:val="center"/>
              <w:rPr>
                <w:rFonts w:ascii="Calibri" w:eastAsia="Times New Roman" w:hAnsi="Calibri" w:cs="Calibri"/>
                <w:color w:val="000000"/>
                <w:sz w:val="20"/>
                <w:szCs w:val="20"/>
              </w:rPr>
            </w:pPr>
          </w:p>
        </w:tc>
      </w:tr>
      <w:tr w:rsidR="00CF32C7" w:rsidRPr="00EB58AF" w:rsidTr="00CF32C7">
        <w:trPr>
          <w:trHeight w:val="141"/>
        </w:trPr>
        <w:tc>
          <w:tcPr>
            <w:tcW w:w="1790" w:type="dxa"/>
            <w:tcBorders>
              <w:top w:val="nil"/>
              <w:left w:val="single" w:sz="4" w:space="0" w:color="auto"/>
              <w:bottom w:val="single" w:sz="4" w:space="0" w:color="auto"/>
              <w:right w:val="single" w:sz="4" w:space="0" w:color="auto"/>
            </w:tcBorders>
            <w:shd w:val="clear" w:color="000000" w:fill="D0CECE"/>
            <w:noWrap/>
            <w:vAlign w:val="bottom"/>
            <w:hideMark/>
          </w:tcPr>
          <w:p w:rsidR="00CF32C7" w:rsidRPr="008F2FD2" w:rsidRDefault="00CF32C7" w:rsidP="00AA6219">
            <w:pPr>
              <w:spacing w:after="0" w:line="240" w:lineRule="auto"/>
              <w:rPr>
                <w:rFonts w:ascii="Calibri" w:eastAsia="Times New Roman" w:hAnsi="Calibri" w:cs="Calibri"/>
                <w:color w:val="0D0D0D"/>
                <w:sz w:val="18"/>
                <w:szCs w:val="18"/>
              </w:rPr>
            </w:pPr>
            <w:r>
              <w:rPr>
                <w:rFonts w:ascii="Calibri" w:eastAsia="Times New Roman" w:hAnsi="Calibri" w:cs="Calibri"/>
                <w:color w:val="0D0D0D"/>
                <w:sz w:val="18"/>
                <w:szCs w:val="18"/>
              </w:rPr>
              <w:t xml:space="preserve">Base Price Monthly  </w:t>
            </w:r>
          </w:p>
        </w:tc>
        <w:tc>
          <w:tcPr>
            <w:tcW w:w="1297"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057FF1" w:rsidP="00057FF1">
            <w:pPr>
              <w:spacing w:after="0" w:line="240" w:lineRule="auto"/>
              <w:jc w:val="center"/>
              <w:rPr>
                <w:rFonts w:ascii="Calibri" w:eastAsia="Times New Roman" w:hAnsi="Calibri" w:cs="Calibri"/>
                <w:b/>
                <w:bCs/>
                <w:color w:val="0D0D0D"/>
                <w:sz w:val="20"/>
                <w:szCs w:val="20"/>
              </w:rPr>
            </w:pPr>
            <w:r>
              <w:rPr>
                <w:rFonts w:ascii="Calibri" w:eastAsia="Times New Roman" w:hAnsi="Calibri" w:cs="Calibri"/>
                <w:b/>
                <w:bCs/>
                <w:color w:val="0D0D0D"/>
                <w:sz w:val="20"/>
                <w:szCs w:val="20"/>
              </w:rPr>
              <w:t>$125.00</w:t>
            </w:r>
          </w:p>
        </w:tc>
        <w:tc>
          <w:tcPr>
            <w:tcW w:w="1296"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057FF1" w:rsidP="00CF32C7">
            <w:pPr>
              <w:spacing w:after="0" w:line="240" w:lineRule="auto"/>
              <w:jc w:val="center"/>
              <w:rPr>
                <w:rFonts w:ascii="Calibri" w:eastAsia="Times New Roman" w:hAnsi="Calibri" w:cs="Calibri"/>
                <w:b/>
                <w:bCs/>
                <w:color w:val="0D0D0D"/>
                <w:sz w:val="20"/>
                <w:szCs w:val="20"/>
              </w:rPr>
            </w:pPr>
            <w:r>
              <w:rPr>
                <w:rFonts w:ascii="Calibri" w:eastAsia="Times New Roman" w:hAnsi="Calibri" w:cs="Calibri"/>
                <w:b/>
                <w:bCs/>
                <w:color w:val="0D0D0D"/>
                <w:sz w:val="20"/>
                <w:szCs w:val="20"/>
              </w:rPr>
              <w:t>$125.00</w:t>
            </w:r>
          </w:p>
        </w:tc>
        <w:tc>
          <w:tcPr>
            <w:tcW w:w="1299"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CF32C7">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w:t>
            </w:r>
            <w:r>
              <w:rPr>
                <w:rFonts w:ascii="Calibri" w:eastAsia="Times New Roman" w:hAnsi="Calibri" w:cs="Calibri"/>
                <w:b/>
                <w:bCs/>
                <w:color w:val="0D0D0D"/>
                <w:sz w:val="20"/>
                <w:szCs w:val="20"/>
              </w:rPr>
              <w:t>125.00</w:t>
            </w:r>
          </w:p>
        </w:tc>
      </w:tr>
    </w:tbl>
    <w:p w:rsidR="004857A3" w:rsidRDefault="004857A3" w:rsidP="002E2815">
      <w:pPr>
        <w:rPr>
          <w:b/>
          <w:sz w:val="20"/>
          <w:szCs w:val="20"/>
        </w:rPr>
      </w:pPr>
      <w:r>
        <w:rPr>
          <w:b/>
          <w:sz w:val="20"/>
          <w:szCs w:val="20"/>
        </w:rPr>
        <w:t xml:space="preserve">                                                                                        </w:t>
      </w:r>
    </w:p>
    <w:p w:rsidR="004857A3" w:rsidRPr="00EB58AF" w:rsidRDefault="004857A3" w:rsidP="002E2815">
      <w:pPr>
        <w:rPr>
          <w:b/>
          <w:sz w:val="20"/>
          <w:szCs w:val="20"/>
        </w:rPr>
      </w:pPr>
      <w:r>
        <w:rPr>
          <w:b/>
          <w:sz w:val="20"/>
          <w:szCs w:val="20"/>
        </w:rPr>
        <w:t xml:space="preserve">                                                 Building / Space Lease</w:t>
      </w:r>
    </w:p>
    <w:tbl>
      <w:tblPr>
        <w:tblW w:w="5682" w:type="dxa"/>
        <w:tblLook w:val="04A0" w:firstRow="1" w:lastRow="0" w:firstColumn="1" w:lastColumn="0" w:noHBand="0" w:noVBand="1"/>
      </w:tblPr>
      <w:tblGrid>
        <w:gridCol w:w="1790"/>
        <w:gridCol w:w="1297"/>
        <w:gridCol w:w="1296"/>
        <w:gridCol w:w="1299"/>
      </w:tblGrid>
      <w:tr w:rsidR="00CF32C7" w:rsidRPr="00EB58AF" w:rsidTr="00CF32C7">
        <w:trPr>
          <w:trHeight w:val="335"/>
        </w:trPr>
        <w:tc>
          <w:tcPr>
            <w:tcW w:w="1790" w:type="dxa"/>
            <w:tcBorders>
              <w:top w:val="nil"/>
              <w:left w:val="nil"/>
              <w:bottom w:val="nil"/>
              <w:right w:val="single" w:sz="4" w:space="0" w:color="auto"/>
            </w:tcBorders>
            <w:shd w:val="clear" w:color="auto" w:fill="auto"/>
            <w:noWrap/>
            <w:vAlign w:val="bottom"/>
            <w:hideMark/>
          </w:tcPr>
          <w:p w:rsidR="00CF32C7" w:rsidRPr="00EB58AF" w:rsidRDefault="00CF32C7" w:rsidP="00A31723">
            <w:pPr>
              <w:spacing w:after="0" w:line="240" w:lineRule="auto"/>
              <w:rPr>
                <w:rFonts w:ascii="Times New Roman" w:eastAsia="Times New Roman" w:hAnsi="Times New Roman" w:cs="Times New Roman"/>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2023</w:t>
            </w:r>
          </w:p>
        </w:tc>
        <w:tc>
          <w:tcPr>
            <w:tcW w:w="1296"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2024</w:t>
            </w:r>
          </w:p>
        </w:tc>
        <w:tc>
          <w:tcPr>
            <w:tcW w:w="1299" w:type="dxa"/>
            <w:tcBorders>
              <w:top w:val="single" w:sz="4" w:space="0" w:color="auto"/>
              <w:left w:val="nil"/>
              <w:bottom w:val="single" w:sz="4" w:space="0" w:color="auto"/>
              <w:right w:val="single" w:sz="4" w:space="0" w:color="auto"/>
            </w:tcBorders>
            <w:shd w:val="clear" w:color="000000" w:fill="E7E6E6"/>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sidRPr="00EB58AF">
              <w:rPr>
                <w:rFonts w:ascii="Calibri" w:eastAsia="Times New Roman" w:hAnsi="Calibri" w:cs="Calibri"/>
                <w:color w:val="000000"/>
                <w:sz w:val="20"/>
                <w:szCs w:val="20"/>
              </w:rPr>
              <w:t>2025</w:t>
            </w:r>
          </w:p>
        </w:tc>
      </w:tr>
      <w:tr w:rsidR="00CF32C7" w:rsidRPr="00EB58AF" w:rsidTr="00CF32C7">
        <w:trPr>
          <w:trHeight w:val="335"/>
        </w:trPr>
        <w:tc>
          <w:tcPr>
            <w:tcW w:w="179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F32C7" w:rsidRPr="00EB58AF" w:rsidRDefault="00CF32C7" w:rsidP="00A31723">
            <w:pPr>
              <w:spacing w:after="0" w:line="240" w:lineRule="auto"/>
              <w:rPr>
                <w:rFonts w:ascii="Calibri" w:eastAsia="Times New Roman" w:hAnsi="Calibri" w:cs="Calibri"/>
                <w:color w:val="000000"/>
                <w:sz w:val="20"/>
                <w:szCs w:val="20"/>
              </w:rPr>
            </w:pPr>
            <w:r w:rsidRPr="00EB58AF">
              <w:rPr>
                <w:rFonts w:ascii="Calibri" w:eastAsia="Times New Roman" w:hAnsi="Calibri" w:cs="Calibri"/>
                <w:color w:val="000000"/>
                <w:sz w:val="20"/>
                <w:szCs w:val="20"/>
              </w:rPr>
              <w:t>CAF</w:t>
            </w:r>
          </w:p>
        </w:tc>
        <w:tc>
          <w:tcPr>
            <w:tcW w:w="1297"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6"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c>
          <w:tcPr>
            <w:tcW w:w="1299" w:type="dxa"/>
            <w:tcBorders>
              <w:top w:val="single" w:sz="4" w:space="0" w:color="auto"/>
              <w:left w:val="nil"/>
              <w:bottom w:val="single" w:sz="4" w:space="0" w:color="auto"/>
              <w:right w:val="single" w:sz="4" w:space="0" w:color="auto"/>
            </w:tcBorders>
            <w:shd w:val="clear" w:color="000000" w:fill="FFFF00"/>
            <w:noWrap/>
            <w:vAlign w:val="bottom"/>
            <w:hideMark/>
          </w:tcPr>
          <w:p w:rsidR="00CF32C7" w:rsidRPr="00EB58AF" w:rsidRDefault="00CF32C7" w:rsidP="00CF32C7">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Pr="00EB58AF">
              <w:rPr>
                <w:rFonts w:ascii="Calibri" w:eastAsia="Times New Roman" w:hAnsi="Calibri" w:cs="Calibri"/>
                <w:color w:val="000000"/>
                <w:sz w:val="20"/>
                <w:szCs w:val="20"/>
              </w:rPr>
              <w:t>.</w:t>
            </w:r>
            <w:r>
              <w:rPr>
                <w:rFonts w:ascii="Calibri" w:eastAsia="Times New Roman" w:hAnsi="Calibri" w:cs="Calibri"/>
                <w:color w:val="000000"/>
                <w:sz w:val="20"/>
                <w:szCs w:val="20"/>
              </w:rPr>
              <w:t>414</w:t>
            </w:r>
            <w:r w:rsidRPr="00EB58AF">
              <w:rPr>
                <w:rFonts w:ascii="Calibri" w:eastAsia="Times New Roman" w:hAnsi="Calibri" w:cs="Calibri"/>
                <w:color w:val="000000"/>
                <w:sz w:val="20"/>
                <w:szCs w:val="20"/>
              </w:rPr>
              <w:t>%</w:t>
            </w:r>
          </w:p>
        </w:tc>
      </w:tr>
      <w:tr w:rsidR="00CF32C7" w:rsidRPr="00EB58AF" w:rsidTr="00CF32C7">
        <w:trPr>
          <w:trHeight w:val="141"/>
        </w:trPr>
        <w:tc>
          <w:tcPr>
            <w:tcW w:w="1790" w:type="dxa"/>
            <w:tcBorders>
              <w:top w:val="nil"/>
              <w:left w:val="single" w:sz="4" w:space="0" w:color="auto"/>
              <w:bottom w:val="single" w:sz="4" w:space="0" w:color="auto"/>
              <w:right w:val="single" w:sz="4" w:space="0" w:color="auto"/>
            </w:tcBorders>
            <w:shd w:val="clear" w:color="000000" w:fill="D0CECE"/>
            <w:noWrap/>
            <w:vAlign w:val="bottom"/>
            <w:hideMark/>
          </w:tcPr>
          <w:p w:rsidR="00CF32C7" w:rsidRPr="00EB58AF" w:rsidRDefault="00CF32C7" w:rsidP="00A31723">
            <w:pPr>
              <w:spacing w:after="0" w:line="240" w:lineRule="auto"/>
              <w:rPr>
                <w:rFonts w:ascii="Calibri" w:eastAsia="Times New Roman" w:hAnsi="Calibri" w:cs="Calibri"/>
                <w:color w:val="0D0D0D"/>
                <w:sz w:val="20"/>
                <w:szCs w:val="20"/>
              </w:rPr>
            </w:pPr>
            <w:r>
              <w:rPr>
                <w:rFonts w:ascii="Calibri" w:eastAsia="Times New Roman" w:hAnsi="Calibri" w:cs="Calibri"/>
                <w:color w:val="0D0D0D"/>
                <w:sz w:val="20"/>
                <w:szCs w:val="20"/>
              </w:rPr>
              <w:t xml:space="preserve">Base </w:t>
            </w:r>
            <w:r w:rsidRPr="00EB58AF">
              <w:rPr>
                <w:rFonts w:ascii="Calibri" w:eastAsia="Times New Roman" w:hAnsi="Calibri" w:cs="Calibri"/>
                <w:color w:val="0D0D0D"/>
                <w:sz w:val="20"/>
                <w:szCs w:val="20"/>
              </w:rPr>
              <w:t>Price/</w:t>
            </w:r>
            <w:proofErr w:type="spellStart"/>
            <w:r w:rsidRPr="00EB58AF">
              <w:rPr>
                <w:rFonts w:ascii="Calibri" w:eastAsia="Times New Roman" w:hAnsi="Calibri" w:cs="Calibri"/>
                <w:color w:val="0D0D0D"/>
                <w:sz w:val="20"/>
                <w:szCs w:val="20"/>
              </w:rPr>
              <w:t>Sqf</w:t>
            </w:r>
            <w:proofErr w:type="spellEnd"/>
          </w:p>
        </w:tc>
        <w:tc>
          <w:tcPr>
            <w:tcW w:w="1297"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80</w:t>
            </w:r>
            <w:r w:rsidR="006E392F">
              <w:rPr>
                <w:rFonts w:ascii="Calibri" w:eastAsia="Times New Roman" w:hAnsi="Calibri" w:cs="Calibri"/>
                <w:b/>
                <w:bCs/>
                <w:color w:val="0D0D0D"/>
                <w:sz w:val="20"/>
                <w:szCs w:val="20"/>
              </w:rPr>
              <w:t>7</w:t>
            </w:r>
          </w:p>
        </w:tc>
        <w:tc>
          <w:tcPr>
            <w:tcW w:w="1296"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8</w:t>
            </w:r>
            <w:r w:rsidR="006E392F">
              <w:rPr>
                <w:rFonts w:ascii="Calibri" w:eastAsia="Times New Roman" w:hAnsi="Calibri" w:cs="Calibri"/>
                <w:b/>
                <w:bCs/>
                <w:color w:val="0D0D0D"/>
                <w:sz w:val="20"/>
                <w:szCs w:val="20"/>
              </w:rPr>
              <w:t>40</w:t>
            </w:r>
          </w:p>
        </w:tc>
        <w:tc>
          <w:tcPr>
            <w:tcW w:w="1299" w:type="dxa"/>
            <w:tcBorders>
              <w:top w:val="single" w:sz="4" w:space="0" w:color="auto"/>
              <w:left w:val="nil"/>
              <w:bottom w:val="single" w:sz="4" w:space="0" w:color="auto"/>
              <w:right w:val="single" w:sz="4" w:space="0" w:color="auto"/>
            </w:tcBorders>
            <w:shd w:val="clear" w:color="000000" w:fill="D0CECE"/>
            <w:noWrap/>
            <w:vAlign w:val="bottom"/>
            <w:hideMark/>
          </w:tcPr>
          <w:p w:rsidR="00CF32C7" w:rsidRPr="00EB58AF" w:rsidRDefault="00CF32C7" w:rsidP="006E392F">
            <w:pPr>
              <w:spacing w:after="0" w:line="240" w:lineRule="auto"/>
              <w:jc w:val="center"/>
              <w:rPr>
                <w:rFonts w:ascii="Calibri" w:eastAsia="Times New Roman" w:hAnsi="Calibri" w:cs="Calibri"/>
                <w:b/>
                <w:bCs/>
                <w:color w:val="0D0D0D"/>
                <w:sz w:val="20"/>
                <w:szCs w:val="20"/>
              </w:rPr>
            </w:pPr>
            <w:r w:rsidRPr="00EB58AF">
              <w:rPr>
                <w:rFonts w:ascii="Calibri" w:eastAsia="Times New Roman" w:hAnsi="Calibri" w:cs="Calibri"/>
                <w:b/>
                <w:bCs/>
                <w:color w:val="0D0D0D"/>
                <w:sz w:val="20"/>
                <w:szCs w:val="20"/>
              </w:rPr>
              <w:t>$0.</w:t>
            </w:r>
            <w:r>
              <w:rPr>
                <w:rFonts w:ascii="Calibri" w:eastAsia="Times New Roman" w:hAnsi="Calibri" w:cs="Calibri"/>
                <w:b/>
                <w:bCs/>
                <w:color w:val="0D0D0D"/>
                <w:sz w:val="20"/>
                <w:szCs w:val="20"/>
              </w:rPr>
              <w:t>87</w:t>
            </w:r>
            <w:r w:rsidR="006E392F">
              <w:rPr>
                <w:rFonts w:ascii="Calibri" w:eastAsia="Times New Roman" w:hAnsi="Calibri" w:cs="Calibri"/>
                <w:b/>
                <w:bCs/>
                <w:color w:val="0D0D0D"/>
                <w:sz w:val="20"/>
                <w:szCs w:val="20"/>
              </w:rPr>
              <w:t>5</w:t>
            </w:r>
          </w:p>
        </w:tc>
      </w:tr>
    </w:tbl>
    <w:p w:rsidR="004857A3" w:rsidRDefault="00E312A8">
      <w:r>
        <w:t xml:space="preserve">                                             EXHIBIT “B”</w:t>
      </w:r>
    </w:p>
    <w:p w:rsidR="004857A3" w:rsidRDefault="004857A3" w:rsidP="00485D12">
      <w:pPr>
        <w:tabs>
          <w:tab w:val="left" w:pos="900"/>
        </w:tabs>
        <w:spacing w:before="0" w:after="0"/>
        <w:rPr>
          <w:rFonts w:cs="Arial"/>
        </w:rPr>
      </w:pPr>
    </w:p>
    <w:sectPr w:rsidR="004857A3" w:rsidSect="008534F6">
      <w:footerReference w:type="default" r:id="rId8"/>
      <w:pgSz w:w="12240" w:h="15840" w:code="1"/>
      <w:pgMar w:top="1035" w:right="1440" w:bottom="1440" w:left="1440" w:header="144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8E" w:rsidRDefault="0026388E" w:rsidP="00D20812">
      <w:r>
        <w:separator/>
      </w:r>
    </w:p>
  </w:endnote>
  <w:endnote w:type="continuationSeparator" w:id="0">
    <w:p w:rsidR="0026388E" w:rsidRDefault="0026388E" w:rsidP="00D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B2" w:rsidRPr="005A0F4F" w:rsidRDefault="00172AB2">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8E" w:rsidRDefault="0026388E" w:rsidP="00D20812">
      <w:r>
        <w:separator/>
      </w:r>
    </w:p>
  </w:footnote>
  <w:footnote w:type="continuationSeparator" w:id="0">
    <w:p w:rsidR="0026388E" w:rsidRDefault="0026388E" w:rsidP="00D20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5C"/>
    <w:rsid w:val="00000665"/>
    <w:rsid w:val="0002486C"/>
    <w:rsid w:val="000507AD"/>
    <w:rsid w:val="00057FF1"/>
    <w:rsid w:val="00074EE5"/>
    <w:rsid w:val="00077D4B"/>
    <w:rsid w:val="000A2711"/>
    <w:rsid w:val="000C498B"/>
    <w:rsid w:val="00107230"/>
    <w:rsid w:val="001273BE"/>
    <w:rsid w:val="0014575F"/>
    <w:rsid w:val="0015038F"/>
    <w:rsid w:val="00172AB2"/>
    <w:rsid w:val="00183CB2"/>
    <w:rsid w:val="001D0A9D"/>
    <w:rsid w:val="002070FA"/>
    <w:rsid w:val="0021263C"/>
    <w:rsid w:val="00213A5A"/>
    <w:rsid w:val="0022723B"/>
    <w:rsid w:val="0026388E"/>
    <w:rsid w:val="0026402E"/>
    <w:rsid w:val="00297CB5"/>
    <w:rsid w:val="002B280A"/>
    <w:rsid w:val="002F0D39"/>
    <w:rsid w:val="00321C5D"/>
    <w:rsid w:val="00341F0D"/>
    <w:rsid w:val="00373F0C"/>
    <w:rsid w:val="003768E8"/>
    <w:rsid w:val="003B5952"/>
    <w:rsid w:val="003C0E4E"/>
    <w:rsid w:val="0040356B"/>
    <w:rsid w:val="0040586B"/>
    <w:rsid w:val="004553DF"/>
    <w:rsid w:val="004820C5"/>
    <w:rsid w:val="00483C6F"/>
    <w:rsid w:val="004857A3"/>
    <w:rsid w:val="00485D12"/>
    <w:rsid w:val="004A115A"/>
    <w:rsid w:val="004D4708"/>
    <w:rsid w:val="004D5DD2"/>
    <w:rsid w:val="004E06FC"/>
    <w:rsid w:val="005044A9"/>
    <w:rsid w:val="00515F49"/>
    <w:rsid w:val="005352B8"/>
    <w:rsid w:val="00556CF7"/>
    <w:rsid w:val="00570BE1"/>
    <w:rsid w:val="005A0F4F"/>
    <w:rsid w:val="005A398B"/>
    <w:rsid w:val="005C5595"/>
    <w:rsid w:val="005D7274"/>
    <w:rsid w:val="005E34D0"/>
    <w:rsid w:val="005F58D6"/>
    <w:rsid w:val="006011CD"/>
    <w:rsid w:val="00605DF7"/>
    <w:rsid w:val="00623705"/>
    <w:rsid w:val="0067521D"/>
    <w:rsid w:val="00691337"/>
    <w:rsid w:val="006A407A"/>
    <w:rsid w:val="006C7EE4"/>
    <w:rsid w:val="006E392F"/>
    <w:rsid w:val="006F33BE"/>
    <w:rsid w:val="00704AFB"/>
    <w:rsid w:val="007064BA"/>
    <w:rsid w:val="0077136B"/>
    <w:rsid w:val="00794012"/>
    <w:rsid w:val="00815ADB"/>
    <w:rsid w:val="0084339F"/>
    <w:rsid w:val="008534F6"/>
    <w:rsid w:val="00853C75"/>
    <w:rsid w:val="008A41F3"/>
    <w:rsid w:val="008E75B6"/>
    <w:rsid w:val="0096265C"/>
    <w:rsid w:val="00992529"/>
    <w:rsid w:val="00994B2B"/>
    <w:rsid w:val="009A3293"/>
    <w:rsid w:val="009A44FD"/>
    <w:rsid w:val="009E3069"/>
    <w:rsid w:val="00A9471D"/>
    <w:rsid w:val="00AA25B5"/>
    <w:rsid w:val="00AA6219"/>
    <w:rsid w:val="00AC219C"/>
    <w:rsid w:val="00AD5964"/>
    <w:rsid w:val="00B0213A"/>
    <w:rsid w:val="00B62861"/>
    <w:rsid w:val="00B735AC"/>
    <w:rsid w:val="00C052F7"/>
    <w:rsid w:val="00C0634A"/>
    <w:rsid w:val="00C508B5"/>
    <w:rsid w:val="00C55D71"/>
    <w:rsid w:val="00C6345B"/>
    <w:rsid w:val="00CC2C08"/>
    <w:rsid w:val="00CF32C7"/>
    <w:rsid w:val="00CF4700"/>
    <w:rsid w:val="00D15E6F"/>
    <w:rsid w:val="00D20812"/>
    <w:rsid w:val="00D34ECB"/>
    <w:rsid w:val="00D5011B"/>
    <w:rsid w:val="00D86CAB"/>
    <w:rsid w:val="00D92166"/>
    <w:rsid w:val="00DB2A36"/>
    <w:rsid w:val="00DB5CA5"/>
    <w:rsid w:val="00DD4683"/>
    <w:rsid w:val="00DF110A"/>
    <w:rsid w:val="00E312A8"/>
    <w:rsid w:val="00E44B8E"/>
    <w:rsid w:val="00E816E8"/>
    <w:rsid w:val="00E83C32"/>
    <w:rsid w:val="00EB04BA"/>
    <w:rsid w:val="00F03D17"/>
    <w:rsid w:val="00F0477D"/>
    <w:rsid w:val="00F34E1B"/>
    <w:rsid w:val="00F80CEB"/>
    <w:rsid w:val="00FE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D0D024-9158-4CBC-8FA6-1618831B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14575F"/>
    <w:pPr>
      <w:spacing w:before="120" w:after="160" w:line="259" w:lineRule="auto"/>
    </w:pPr>
    <w:rPr>
      <w:rFonts w:cstheme="minorBidi"/>
    </w:rPr>
  </w:style>
  <w:style w:type="paragraph" w:styleId="Heading1">
    <w:name w:val="heading 1"/>
    <w:basedOn w:val="Normal"/>
    <w:next w:val="Normal"/>
    <w:link w:val="Heading1Char"/>
    <w:uiPriority w:val="9"/>
    <w:qFormat/>
    <w:rsid w:val="0014575F"/>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14575F"/>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14575F"/>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14575F"/>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1457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575F"/>
  </w:style>
  <w:style w:type="paragraph" w:styleId="BalloonText">
    <w:name w:val="Balloon Text"/>
    <w:basedOn w:val="Normal"/>
    <w:link w:val="BalloonTextChar"/>
    <w:uiPriority w:val="99"/>
    <w:semiHidden/>
    <w:unhideWhenUsed/>
    <w:rsid w:val="0014575F"/>
    <w:rPr>
      <w:rFonts w:ascii="Tahoma" w:hAnsi="Tahoma" w:cs="Tahoma"/>
      <w:sz w:val="16"/>
      <w:szCs w:val="16"/>
    </w:rPr>
  </w:style>
  <w:style w:type="character" w:customStyle="1" w:styleId="BalloonTextChar">
    <w:name w:val="Balloon Text Char"/>
    <w:basedOn w:val="DefaultParagraphFont"/>
    <w:link w:val="BalloonText"/>
    <w:uiPriority w:val="99"/>
    <w:semiHidden/>
    <w:rsid w:val="0014575F"/>
    <w:rPr>
      <w:rFonts w:ascii="Tahoma" w:hAnsi="Tahoma" w:cs="Tahoma"/>
      <w:sz w:val="16"/>
      <w:szCs w:val="16"/>
    </w:rPr>
  </w:style>
  <w:style w:type="paragraph" w:styleId="Header">
    <w:name w:val="header"/>
    <w:basedOn w:val="Normal"/>
    <w:link w:val="HeaderChar"/>
    <w:uiPriority w:val="99"/>
    <w:unhideWhenUsed/>
    <w:rsid w:val="0014575F"/>
    <w:pPr>
      <w:tabs>
        <w:tab w:val="center" w:pos="4680"/>
        <w:tab w:val="right" w:pos="9360"/>
      </w:tabs>
    </w:pPr>
  </w:style>
  <w:style w:type="character" w:customStyle="1" w:styleId="HeaderChar">
    <w:name w:val="Header Char"/>
    <w:basedOn w:val="DefaultParagraphFont"/>
    <w:link w:val="Header"/>
    <w:uiPriority w:val="99"/>
    <w:rsid w:val="0014575F"/>
    <w:rPr>
      <w:rFonts w:cstheme="minorBidi"/>
    </w:rPr>
  </w:style>
  <w:style w:type="paragraph" w:styleId="Footer">
    <w:name w:val="footer"/>
    <w:basedOn w:val="Normal"/>
    <w:link w:val="FooterChar"/>
    <w:uiPriority w:val="99"/>
    <w:unhideWhenUsed/>
    <w:rsid w:val="0014575F"/>
    <w:pPr>
      <w:tabs>
        <w:tab w:val="center" w:pos="4680"/>
        <w:tab w:val="right" w:pos="9360"/>
      </w:tabs>
    </w:pPr>
  </w:style>
  <w:style w:type="character" w:customStyle="1" w:styleId="FooterChar">
    <w:name w:val="Footer Char"/>
    <w:basedOn w:val="DefaultParagraphFont"/>
    <w:link w:val="Footer"/>
    <w:uiPriority w:val="99"/>
    <w:rsid w:val="0014575F"/>
    <w:rPr>
      <w:rFonts w:cstheme="minorBidi"/>
    </w:rPr>
  </w:style>
  <w:style w:type="character" w:customStyle="1" w:styleId="Heading1Char">
    <w:name w:val="Heading 1 Char"/>
    <w:basedOn w:val="DefaultParagraphFont"/>
    <w:link w:val="Heading1"/>
    <w:uiPriority w:val="9"/>
    <w:rsid w:val="0014575F"/>
    <w:rPr>
      <w:rFonts w:eastAsiaTheme="majorEastAsia"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14575F"/>
    <w:rPr>
      <w:rFonts w:eastAsiaTheme="majorEastAsia" w:cstheme="majorBidi"/>
      <w:b/>
      <w:bCs/>
      <w:iCs/>
      <w:sz w:val="28"/>
      <w:szCs w:val="28"/>
    </w:rPr>
  </w:style>
  <w:style w:type="character" w:customStyle="1" w:styleId="Heading3Char">
    <w:name w:val="Heading 3 Char"/>
    <w:basedOn w:val="DefaultParagraphFont"/>
    <w:link w:val="Heading3"/>
    <w:uiPriority w:val="9"/>
    <w:rsid w:val="0014575F"/>
    <w:rPr>
      <w:rFonts w:eastAsiaTheme="majorEastAsia" w:cstheme="majorBidi"/>
      <w:b/>
      <w:bCs/>
      <w:szCs w:val="26"/>
    </w:rPr>
  </w:style>
  <w:style w:type="character" w:customStyle="1" w:styleId="Heading4Char">
    <w:name w:val="Heading 4 Char"/>
    <w:basedOn w:val="DefaultParagraphFont"/>
    <w:link w:val="Heading4"/>
    <w:uiPriority w:val="9"/>
    <w:rsid w:val="0014575F"/>
    <w:rPr>
      <w:rFonts w:eastAsiaTheme="majorEastAsia" w:cstheme="majorBidi"/>
      <w:b/>
      <w:i/>
      <w:iCs/>
      <w:color w:val="365F91" w:themeColor="accent1" w:themeShade="BF"/>
    </w:rPr>
  </w:style>
  <w:style w:type="character" w:customStyle="1" w:styleId="Hypertext">
    <w:name w:val="Hypertext"/>
    <w:uiPriority w:val="99"/>
    <w:rsid w:val="0014575F"/>
    <w:rPr>
      <w:color w:val="0000FF"/>
      <w:u w:val="single"/>
    </w:rPr>
  </w:style>
  <w:style w:type="character" w:styleId="FootnoteReference">
    <w:name w:val="footnote reference"/>
    <w:uiPriority w:val="99"/>
    <w:rsid w:val="0014575F"/>
  </w:style>
  <w:style w:type="paragraph" w:styleId="Title">
    <w:name w:val="Title"/>
    <w:basedOn w:val="Normal"/>
    <w:next w:val="Normal"/>
    <w:link w:val="TitleChar"/>
    <w:uiPriority w:val="10"/>
    <w:qFormat/>
    <w:rsid w:val="0014575F"/>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14575F"/>
    <w:rPr>
      <w:rFonts w:eastAsiaTheme="majorEastAsia" w:cstheme="majorBidi"/>
      <w:b/>
      <w:bCs/>
      <w:color w:val="244061" w:themeColor="accent1" w:themeShade="80"/>
      <w:kern w:val="28"/>
      <w:sz w:val="36"/>
      <w:szCs w:val="32"/>
    </w:rPr>
  </w:style>
  <w:style w:type="paragraph" w:styleId="ListParagraph">
    <w:name w:val="List Paragraph"/>
    <w:basedOn w:val="Normal"/>
    <w:uiPriority w:val="5"/>
    <w:qFormat/>
    <w:rsid w:val="0014575F"/>
    <w:pPr>
      <w:spacing w:after="120"/>
    </w:pPr>
    <w:rPr>
      <w:rFonts w:cs="Times New Roman"/>
    </w:rPr>
  </w:style>
  <w:style w:type="paragraph" w:styleId="NoSpacing">
    <w:name w:val="No Spacing"/>
    <w:uiPriority w:val="1"/>
    <w:qFormat/>
    <w:rsid w:val="0014575F"/>
    <w:pPr>
      <w:spacing w:after="0" w:line="259" w:lineRule="auto"/>
    </w:pPr>
    <w:rPr>
      <w:rFonts w:eastAsiaTheme="minorEastAsia" w:cstheme="minorBidi"/>
    </w:rPr>
  </w:style>
  <w:style w:type="paragraph" w:styleId="Subtitle">
    <w:name w:val="Subtitle"/>
    <w:basedOn w:val="Normal"/>
    <w:next w:val="Normal"/>
    <w:link w:val="SubtitleChar"/>
    <w:uiPriority w:val="11"/>
    <w:rsid w:val="0014575F"/>
    <w:pPr>
      <w:numPr>
        <w:ilvl w:val="1"/>
      </w:numPr>
    </w:pPr>
    <w:rPr>
      <w:spacing w:val="15"/>
      <w:szCs w:val="22"/>
    </w:rPr>
  </w:style>
  <w:style w:type="character" w:customStyle="1" w:styleId="SubtitleChar">
    <w:name w:val="Subtitle Char"/>
    <w:basedOn w:val="DefaultParagraphFont"/>
    <w:link w:val="Subtitle"/>
    <w:uiPriority w:val="11"/>
    <w:rsid w:val="0014575F"/>
    <w:rPr>
      <w:rFonts w:cstheme="minorBidi"/>
      <w:spacing w:val="15"/>
      <w:szCs w:val="22"/>
    </w:rPr>
  </w:style>
  <w:style w:type="character" w:styleId="SubtleEmphasis">
    <w:name w:val="Subtle Emphasis"/>
    <w:basedOn w:val="DefaultParagraphFont"/>
    <w:uiPriority w:val="19"/>
    <w:rsid w:val="0014575F"/>
    <w:rPr>
      <w:i/>
      <w:iCs/>
      <w:color w:val="404040" w:themeColor="text1" w:themeTint="BF"/>
    </w:rPr>
  </w:style>
  <w:style w:type="character" w:styleId="Emphasis">
    <w:name w:val="Emphasis"/>
    <w:basedOn w:val="DefaultParagraphFont"/>
    <w:uiPriority w:val="20"/>
    <w:rsid w:val="0014575F"/>
    <w:rPr>
      <w:i/>
      <w:iCs/>
    </w:rPr>
  </w:style>
  <w:style w:type="character" w:styleId="Strong">
    <w:name w:val="Strong"/>
    <w:basedOn w:val="DefaultParagraphFont"/>
    <w:uiPriority w:val="22"/>
    <w:qFormat/>
    <w:rsid w:val="0014575F"/>
    <w:rPr>
      <w:rFonts w:ascii="Arial" w:hAnsi="Arial"/>
      <w:b/>
      <w:bCs/>
      <w:sz w:val="22"/>
    </w:rPr>
  </w:style>
  <w:style w:type="character" w:styleId="IntenseEmphasis">
    <w:name w:val="Intense Emphasis"/>
    <w:basedOn w:val="DefaultParagraphFont"/>
    <w:uiPriority w:val="21"/>
    <w:rsid w:val="0014575F"/>
    <w:rPr>
      <w:i/>
      <w:iCs/>
      <w:color w:val="4F81BD" w:themeColor="accent1"/>
    </w:rPr>
  </w:style>
  <w:style w:type="paragraph" w:styleId="Quote">
    <w:name w:val="Quote"/>
    <w:basedOn w:val="Normal"/>
    <w:next w:val="Normal"/>
    <w:link w:val="QuoteChar"/>
    <w:uiPriority w:val="29"/>
    <w:qFormat/>
    <w:rsid w:val="0014575F"/>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14575F"/>
    <w:rPr>
      <w:rFonts w:cstheme="minorBidi"/>
      <w:i/>
      <w:iCs/>
      <w:color w:val="000000" w:themeColor="text1"/>
    </w:rPr>
  </w:style>
  <w:style w:type="character" w:styleId="IntenseReference">
    <w:name w:val="Intense Reference"/>
    <w:basedOn w:val="DefaultParagraphFont"/>
    <w:uiPriority w:val="32"/>
    <w:qFormat/>
    <w:rsid w:val="0014575F"/>
    <w:rPr>
      <w:rFonts w:ascii="Arial" w:hAnsi="Arial"/>
      <w:b/>
      <w:bCs/>
      <w:smallCaps/>
      <w:color w:val="365F91" w:themeColor="accent1" w:themeShade="BF"/>
      <w:spacing w:val="5"/>
      <w:sz w:val="24"/>
    </w:rPr>
  </w:style>
  <w:style w:type="character" w:styleId="PlaceholderText">
    <w:name w:val="Placeholder Text"/>
    <w:basedOn w:val="DefaultParagraphFont"/>
    <w:uiPriority w:val="99"/>
    <w:semiHidden/>
    <w:rsid w:val="001457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LERK\Work%20Group%20Templates\Resolu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C1E848453344CC9B78608539D8D112"/>
        <w:category>
          <w:name w:val="General"/>
          <w:gallery w:val="placeholder"/>
        </w:category>
        <w:types>
          <w:type w:val="bbPlcHdr"/>
        </w:types>
        <w:behaviors>
          <w:behavior w:val="content"/>
        </w:behaviors>
        <w:guid w:val="{456D36FD-0274-4818-B1E4-29BD88948FF7}"/>
      </w:docPartPr>
      <w:docPartBody>
        <w:p w:rsidR="00EE628C" w:rsidRDefault="00C87A52">
          <w:pPr>
            <w:pStyle w:val="B5C1E848453344CC9B78608539D8D112"/>
          </w:pPr>
          <w:r w:rsidRPr="00F516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52"/>
    <w:rsid w:val="00025FCD"/>
    <w:rsid w:val="000907AD"/>
    <w:rsid w:val="001219E4"/>
    <w:rsid w:val="0013094C"/>
    <w:rsid w:val="00190644"/>
    <w:rsid w:val="001A7902"/>
    <w:rsid w:val="003F299A"/>
    <w:rsid w:val="00453786"/>
    <w:rsid w:val="004D0511"/>
    <w:rsid w:val="005153F6"/>
    <w:rsid w:val="00910010"/>
    <w:rsid w:val="0095067E"/>
    <w:rsid w:val="00972DF5"/>
    <w:rsid w:val="009C0E7B"/>
    <w:rsid w:val="00A37245"/>
    <w:rsid w:val="00A463E6"/>
    <w:rsid w:val="00B301F5"/>
    <w:rsid w:val="00BB3A32"/>
    <w:rsid w:val="00C87A52"/>
    <w:rsid w:val="00D8331D"/>
    <w:rsid w:val="00ED5E15"/>
    <w:rsid w:val="00EE628C"/>
    <w:rsid w:val="00F2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C1E848453344CC9B78608539D8D112">
    <w:name w:val="B5C1E848453344CC9B78608539D8D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30DA-901A-4F76-9CE7-03CD9D0A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 Template.dotx</Template>
  <TotalTime>1</TotalTime>
  <Pages>4</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Hall</dc:creator>
  <cp:keywords/>
  <dc:description/>
  <cp:lastModifiedBy>Wendy Winningham</cp:lastModifiedBy>
  <cp:revision>2</cp:revision>
  <cp:lastPrinted>2023-05-10T20:15:00Z</cp:lastPrinted>
  <dcterms:created xsi:type="dcterms:W3CDTF">2023-05-10T20:16:00Z</dcterms:created>
  <dcterms:modified xsi:type="dcterms:W3CDTF">2023-05-10T20:16:00Z</dcterms:modified>
</cp:coreProperties>
</file>