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10207">
              <w:rPr>
                <w:rFonts w:asciiTheme="minorHAnsi" w:hAnsiTheme="minorHAnsi"/>
                <w:b/>
                <w:sz w:val="20"/>
                <w:szCs w:val="20"/>
              </w:rPr>
            </w:r>
            <w:r w:rsidR="0061020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1E3AD0" w:rsidP="0061020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A94D05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610207"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bookmarkStart w:id="1" w:name="_GoBack"/>
            <w:bookmarkEnd w:id="1"/>
            <w:r w:rsidR="00A94D05">
              <w:rPr>
                <w:rFonts w:asciiTheme="minorHAnsi" w:hAnsiTheme="minorHAnsi"/>
                <w:b/>
                <w:sz w:val="20"/>
                <w:szCs w:val="20"/>
              </w:rPr>
              <w:t>/2023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10207">
              <w:rPr>
                <w:rFonts w:asciiTheme="minorHAnsi" w:hAnsiTheme="minorHAnsi"/>
                <w:b/>
                <w:sz w:val="20"/>
                <w:szCs w:val="20"/>
              </w:rPr>
            </w:r>
            <w:r w:rsidR="0061020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0D0F00">
        <w:trPr>
          <w:cantSplit/>
          <w:trHeight w:hRule="exact" w:val="235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C5" w:rsidRDefault="003931A7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Requesting consideration for the 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Governing Board </w:t>
            </w:r>
            <w:r w:rsidR="00691F9A">
              <w:rPr>
                <w:rFonts w:asciiTheme="minorHAnsi" w:hAnsiTheme="minorHAnsi"/>
                <w:sz w:val="20"/>
                <w:szCs w:val="20"/>
              </w:rPr>
              <w:t xml:space="preserve">Resolution </w:t>
            </w:r>
            <w:r w:rsidR="00D5634B">
              <w:rPr>
                <w:rFonts w:asciiTheme="minorHAnsi" w:hAnsiTheme="minorHAnsi"/>
                <w:sz w:val="20"/>
                <w:szCs w:val="20"/>
              </w:rPr>
              <w:t>to accept</w:t>
            </w:r>
            <w:r w:rsidR="00691F9A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55818">
              <w:rPr>
                <w:rFonts w:asciiTheme="minorHAnsi" w:hAnsiTheme="minorHAnsi"/>
                <w:sz w:val="20"/>
                <w:szCs w:val="20"/>
              </w:rPr>
              <w:t>Allocation Agreement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from the 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State of California – Health and Human Services Agency - </w:t>
            </w:r>
            <w:r w:rsidR="00A94D05">
              <w:rPr>
                <w:rFonts w:asciiTheme="minorHAnsi" w:hAnsiTheme="minorHAnsi"/>
                <w:sz w:val="20"/>
                <w:szCs w:val="20"/>
              </w:rPr>
              <w:t>California Department of Public Health (CDPH)</w:t>
            </w:r>
            <w:r w:rsidR="008B302F">
              <w:rPr>
                <w:rFonts w:asciiTheme="minorHAnsi" w:hAnsiTheme="minorHAnsi"/>
                <w:sz w:val="20"/>
                <w:szCs w:val="20"/>
              </w:rPr>
              <w:t xml:space="preserve"> Office of Policy and Planning</w:t>
            </w:r>
            <w:r w:rsidR="00A94D05">
              <w:rPr>
                <w:rFonts w:asciiTheme="minorHAnsi" w:hAnsiTheme="minorHAnsi"/>
                <w:sz w:val="20"/>
                <w:szCs w:val="20"/>
              </w:rPr>
              <w:t>,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for the </w:t>
            </w:r>
            <w:r w:rsidR="00A94D05" w:rsidRPr="00A94D05">
              <w:rPr>
                <w:rFonts w:asciiTheme="minorHAnsi" w:hAnsiTheme="minorHAnsi" w:cstheme="minorHAnsi"/>
                <w:sz w:val="20"/>
                <w:szCs w:val="20"/>
              </w:rPr>
              <w:t>California</w:t>
            </w:r>
            <w:r w:rsidR="001E3AD0">
              <w:rPr>
                <w:rFonts w:asciiTheme="minorHAnsi" w:hAnsiTheme="minorHAnsi" w:cstheme="minorHAnsi"/>
                <w:sz w:val="20"/>
                <w:szCs w:val="20"/>
              </w:rPr>
              <w:t xml:space="preserve"> Strengthening Public Health Initiative (CASPHI)</w:t>
            </w:r>
            <w:r w:rsidR="00A94D05">
              <w:rPr>
                <w:rFonts w:asciiTheme="minorHAnsi" w:hAnsiTheme="minorHAnsi"/>
                <w:sz w:val="20"/>
                <w:szCs w:val="20"/>
              </w:rPr>
              <w:t>.</w:t>
            </w:r>
            <w:r w:rsidR="0081227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55818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Siskiyou County Health &amp; Human Services Agency/Public Health Division is requesting approval for the</w:t>
            </w:r>
            <w:r w:rsidR="001E3AD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E3AD0" w:rsidRPr="00A94D05">
              <w:rPr>
                <w:rFonts w:asciiTheme="minorHAnsi" w:hAnsiTheme="minorHAnsi" w:cstheme="minorHAnsi"/>
                <w:sz w:val="20"/>
                <w:szCs w:val="20"/>
              </w:rPr>
              <w:t>California</w:t>
            </w:r>
            <w:r w:rsidR="001E3AD0">
              <w:rPr>
                <w:rFonts w:asciiTheme="minorHAnsi" w:hAnsiTheme="minorHAnsi" w:cstheme="minorHAnsi"/>
                <w:sz w:val="20"/>
                <w:szCs w:val="20"/>
              </w:rPr>
              <w:t xml:space="preserve"> Strengthening Public Health Initiative (CASPHI)</w:t>
            </w:r>
            <w:r w:rsidR="001E3AD0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This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allocation 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for the Local </w:t>
            </w:r>
            <w:r w:rsidR="00501E29">
              <w:rPr>
                <w:rFonts w:asciiTheme="minorHAnsi" w:hAnsiTheme="minorHAnsi"/>
                <w:sz w:val="20"/>
                <w:szCs w:val="20"/>
              </w:rPr>
              <w:t>Health Jurisdictions</w:t>
            </w:r>
            <w:r w:rsidR="00AB2A20">
              <w:rPr>
                <w:rFonts w:asciiTheme="minorHAnsi" w:hAnsiTheme="minorHAnsi"/>
                <w:sz w:val="20"/>
                <w:szCs w:val="20"/>
              </w:rPr>
              <w:t xml:space="preserve"> (LHJ)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 to</w:t>
            </w:r>
            <w:r w:rsidR="001E3AD0">
              <w:rPr>
                <w:rFonts w:asciiTheme="minorHAnsi" w:hAnsiTheme="minorHAnsi"/>
                <w:sz w:val="20"/>
                <w:szCs w:val="20"/>
              </w:rPr>
              <w:t xml:space="preserve"> support the development of public health staffing and infrastructure in the areas of health equity, workforce development, and data modernization</w:t>
            </w:r>
            <w:r w:rsidR="00A94D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department’s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total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allocation is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$</w:t>
            </w:r>
            <w:r w:rsidR="001E3AD0">
              <w:rPr>
                <w:rFonts w:asciiTheme="minorHAnsi" w:hAnsiTheme="minorHAnsi"/>
                <w:sz w:val="20"/>
                <w:szCs w:val="20"/>
              </w:rPr>
              <w:t>609,957</w:t>
            </w:r>
            <w:r w:rsidR="00A94D05">
              <w:rPr>
                <w:rFonts w:asciiTheme="minorHAnsi" w:hAnsiTheme="minorHAnsi"/>
                <w:sz w:val="20"/>
                <w:szCs w:val="20"/>
              </w:rPr>
              <w:t>.00</w:t>
            </w:r>
            <w:r w:rsidR="00F30927">
              <w:rPr>
                <w:rFonts w:asciiTheme="minorHAnsi" w:hAnsiTheme="minorHAnsi"/>
                <w:sz w:val="20"/>
                <w:szCs w:val="20"/>
              </w:rPr>
              <w:t>,</w:t>
            </w:r>
            <w:r w:rsidR="00625373">
              <w:rPr>
                <w:rFonts w:asciiTheme="minorHAnsi" w:hAnsiTheme="minorHAnsi"/>
                <w:sz w:val="20"/>
                <w:szCs w:val="20"/>
              </w:rPr>
              <w:t xml:space="preserve"> with spending authority through</w:t>
            </w:r>
            <w:r w:rsidR="00370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E3AD0">
              <w:rPr>
                <w:rFonts w:asciiTheme="minorHAnsi" w:hAnsiTheme="minorHAnsi"/>
                <w:sz w:val="20"/>
                <w:szCs w:val="20"/>
              </w:rPr>
              <w:t>November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30, 202</w:t>
            </w:r>
            <w:r w:rsidR="001E3AD0">
              <w:rPr>
                <w:rFonts w:asciiTheme="minorHAnsi" w:hAnsiTheme="minorHAnsi"/>
                <w:sz w:val="20"/>
                <w:szCs w:val="20"/>
              </w:rPr>
              <w:t>7</w:t>
            </w:r>
            <w:r w:rsidR="00A94D0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655818" w:rsidRPr="00E66BAF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10207">
              <w:rPr>
                <w:rFonts w:asciiTheme="minorHAnsi" w:hAnsiTheme="minorHAnsi"/>
                <w:sz w:val="18"/>
                <w:szCs w:val="18"/>
              </w:rPr>
            </w:r>
            <w:r w:rsidR="0061020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10207">
              <w:rPr>
                <w:rFonts w:asciiTheme="minorHAnsi" w:hAnsiTheme="minorHAnsi"/>
                <w:sz w:val="18"/>
                <w:szCs w:val="18"/>
              </w:rPr>
            </w:r>
            <w:r w:rsidR="0061020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7C53E8" w:rsidP="001E3AD0">
            <w:pPr>
              <w:rPr>
                <w:rFonts w:asciiTheme="minorHAnsi" w:hAnsiTheme="minorHAnsi"/>
                <w:sz w:val="16"/>
                <w:szCs w:val="16"/>
              </w:rPr>
            </w:pPr>
            <w:r w:rsidRPr="00F30927">
              <w:rPr>
                <w:rFonts w:asciiTheme="minorHAnsi" w:hAnsiTheme="minorHAnsi"/>
                <w:sz w:val="16"/>
                <w:szCs w:val="16"/>
              </w:rPr>
              <w:t>$</w:t>
            </w:r>
            <w:r w:rsidR="001E3AD0">
              <w:rPr>
                <w:rFonts w:asciiTheme="minorHAnsi" w:hAnsiTheme="minorHAnsi"/>
                <w:sz w:val="16"/>
                <w:szCs w:val="16"/>
              </w:rPr>
              <w:t>609,957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8B302F" w:rsidRDefault="001163C0" w:rsidP="00C107A0">
            <w:pPr>
              <w:spacing w:before="120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8B302F"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1163C0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8B302F" w:rsidRDefault="001163C0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8B302F"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FE436F" w:rsidP="002D2D4F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8B302F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542700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270599" w:rsidRDefault="00FE436F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Health Admin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10207">
              <w:rPr>
                <w:rFonts w:asciiTheme="minorHAnsi" w:hAnsiTheme="minorHAnsi"/>
                <w:sz w:val="18"/>
                <w:szCs w:val="18"/>
              </w:rPr>
            </w:r>
            <w:r w:rsidR="0061020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10207">
              <w:rPr>
                <w:rFonts w:asciiTheme="minorHAnsi" w:hAnsiTheme="minorHAnsi"/>
                <w:sz w:val="18"/>
                <w:szCs w:val="18"/>
              </w:rPr>
            </w:r>
            <w:r w:rsidR="0061020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2C1CA6" w:rsidP="00D272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CFDA Number: 93.967</w:t>
            </w:r>
          </w:p>
        </w:tc>
      </w:tr>
      <w:tr w:rsidR="007C53E8" w:rsidRPr="00593663" w:rsidTr="000D0F00">
        <w:trPr>
          <w:cantSplit/>
          <w:trHeight w:hRule="exact" w:val="15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A94D0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0D0F00">
        <w:trPr>
          <w:cantSplit/>
          <w:trHeight w:hRule="exact" w:val="154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727B89" w:rsidRDefault="007C53E8" w:rsidP="001E3AD0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Recommend that the Board of Supervisors approve and authorize the Chair to sign the Governing Board Resolution with the State of California – Health and Human Services Agency – California Department of Public Health (CDPH)</w:t>
            </w:r>
            <w:r w:rsidR="00370BB0">
              <w:rPr>
                <w:rFonts w:asciiTheme="minorHAnsi" w:hAnsiTheme="minorHAnsi"/>
                <w:sz w:val="18"/>
              </w:rPr>
              <w:t>,</w:t>
            </w:r>
            <w:r w:rsidR="00A94D05">
              <w:rPr>
                <w:rFonts w:asciiTheme="minorHAnsi" w:hAnsiTheme="minorHAnsi"/>
                <w:sz w:val="18"/>
              </w:rPr>
              <w:t xml:space="preserve"> </w:t>
            </w:r>
            <w:r w:rsidR="00FE436F">
              <w:rPr>
                <w:rFonts w:asciiTheme="minorHAnsi" w:hAnsiTheme="minorHAnsi"/>
                <w:sz w:val="18"/>
              </w:rPr>
              <w:t xml:space="preserve"> </w:t>
            </w:r>
            <w:r w:rsidR="009C7789">
              <w:rPr>
                <w:rFonts w:asciiTheme="minorHAnsi" w:hAnsiTheme="minorHAnsi"/>
                <w:sz w:val="18"/>
              </w:rPr>
              <w:t xml:space="preserve">for </w:t>
            </w:r>
            <w:r w:rsidR="00843919">
              <w:rPr>
                <w:rFonts w:asciiTheme="minorHAnsi" w:hAnsiTheme="minorHAnsi"/>
                <w:sz w:val="18"/>
              </w:rPr>
              <w:t xml:space="preserve"> the </w:t>
            </w:r>
            <w:r w:rsidR="00B83FDE">
              <w:rPr>
                <w:rFonts w:asciiTheme="minorHAnsi" w:hAnsiTheme="minorHAnsi"/>
                <w:sz w:val="18"/>
              </w:rPr>
              <w:t xml:space="preserve">California </w:t>
            </w:r>
            <w:r w:rsidR="001E3AD0">
              <w:rPr>
                <w:rFonts w:asciiTheme="minorHAnsi" w:hAnsiTheme="minorHAnsi"/>
                <w:sz w:val="18"/>
              </w:rPr>
              <w:t xml:space="preserve">Strengthening Public Health Initiative </w:t>
            </w:r>
            <w:r w:rsidR="00B83FDE">
              <w:rPr>
                <w:rFonts w:asciiTheme="minorHAnsi" w:hAnsiTheme="minorHAnsi"/>
                <w:sz w:val="18"/>
              </w:rPr>
              <w:t>(C</w:t>
            </w:r>
            <w:r w:rsidR="001E3AD0">
              <w:rPr>
                <w:rFonts w:asciiTheme="minorHAnsi" w:hAnsiTheme="minorHAnsi"/>
                <w:sz w:val="18"/>
              </w:rPr>
              <w:t>ASPHI</w:t>
            </w:r>
            <w:r w:rsidR="00B83FDE">
              <w:rPr>
                <w:rFonts w:asciiTheme="minorHAnsi" w:hAnsiTheme="minorHAnsi"/>
                <w:sz w:val="18"/>
              </w:rPr>
              <w:t xml:space="preserve">) </w:t>
            </w:r>
            <w:r w:rsidR="00FE436F">
              <w:rPr>
                <w:rFonts w:asciiTheme="minorHAnsi" w:hAnsiTheme="minorHAnsi"/>
                <w:sz w:val="18"/>
              </w:rPr>
              <w:t>funding</w:t>
            </w:r>
            <w:r w:rsidR="00B90C85">
              <w:rPr>
                <w:rFonts w:asciiTheme="minorHAnsi" w:hAnsiTheme="minorHAnsi"/>
                <w:sz w:val="18"/>
              </w:rPr>
              <w:t xml:space="preserve">, </w:t>
            </w:r>
            <w:r>
              <w:rPr>
                <w:rFonts w:asciiTheme="minorHAnsi" w:hAnsiTheme="minorHAnsi"/>
                <w:sz w:val="18"/>
              </w:rPr>
              <w:t>authorize the County Administrator to act on behalf of the County to execute any and all program award documents as outlined in Section 2 of the Resolution and authorize the Auditor to establish budget appropriation and set expenditures per the agreement amendment guidelines</w:t>
            </w:r>
            <w:r w:rsidR="00DE2664">
              <w:rPr>
                <w:rFonts w:asciiTheme="minorHAnsi" w:hAnsiTheme="minorHAnsi"/>
                <w:sz w:val="18"/>
              </w:rPr>
              <w:t>, for the allocation of $</w:t>
            </w:r>
            <w:r w:rsidR="001E3AD0">
              <w:rPr>
                <w:rFonts w:asciiTheme="minorHAnsi" w:hAnsiTheme="minorHAnsi"/>
                <w:sz w:val="18"/>
              </w:rPr>
              <w:t>609,957</w:t>
            </w:r>
            <w:r w:rsidR="00B83FDE">
              <w:rPr>
                <w:rFonts w:asciiTheme="minorHAnsi" w:hAnsiTheme="minorHAnsi"/>
                <w:sz w:val="18"/>
              </w:rPr>
              <w:t>.00</w:t>
            </w:r>
            <w:r w:rsidR="00843919">
              <w:rPr>
                <w:rFonts w:asciiTheme="minorHAnsi" w:hAnsiTheme="minorHAnsi"/>
                <w:sz w:val="18"/>
              </w:rPr>
              <w:t xml:space="preserve">, with spending authority through </w:t>
            </w:r>
            <w:r w:rsidR="001E3AD0">
              <w:rPr>
                <w:rFonts w:asciiTheme="minorHAnsi" w:hAnsiTheme="minorHAnsi"/>
                <w:sz w:val="18"/>
              </w:rPr>
              <w:t>November 30, 2027.</w:t>
            </w:r>
            <w:r>
              <w:rPr>
                <w:rFonts w:asciiTheme="minorHAnsi" w:hAnsiTheme="minorHAnsi"/>
                <w:sz w:val="18"/>
              </w:rPr>
              <w:t>.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1E3AD0" w:rsidP="008F083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Please return </w:t>
            </w:r>
            <w:r w:rsidR="008F0838">
              <w:rPr>
                <w:rFonts w:asciiTheme="minorHAnsi" w:hAnsiTheme="minorHAnsi"/>
                <w:sz w:val="18"/>
                <w:szCs w:val="18"/>
              </w:rPr>
              <w:t>2 original R</w:t>
            </w:r>
            <w:r>
              <w:rPr>
                <w:rFonts w:asciiTheme="minorHAnsi" w:hAnsiTheme="minorHAnsi"/>
                <w:sz w:val="18"/>
                <w:szCs w:val="18"/>
              </w:rPr>
              <w:t>esolution</w:t>
            </w:r>
            <w:r w:rsidR="008F0838">
              <w:rPr>
                <w:rFonts w:asciiTheme="minorHAnsi" w:hAnsiTheme="minorHAnsi"/>
                <w:sz w:val="18"/>
                <w:szCs w:val="18"/>
              </w:rPr>
              <w:t xml:space="preserve"> documents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to Public 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1E3AD0"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  <w:r w:rsidR="008F0838">
              <w:rPr>
                <w:rFonts w:asciiTheme="minorHAnsi" w:hAnsiTheme="minorHAnsi"/>
                <w:sz w:val="18"/>
                <w:szCs w:val="18"/>
              </w:rPr>
              <w:t xml:space="preserve">Health, </w:t>
            </w:r>
            <w:r w:rsidR="001E3AD0">
              <w:rPr>
                <w:rFonts w:asciiTheme="minorHAnsi" w:hAnsiTheme="minorHAnsi"/>
                <w:sz w:val="18"/>
                <w:szCs w:val="18"/>
              </w:rPr>
              <w:t>Attn: Angela Zambrano-Ford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0F00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3AD0"/>
    <w:rsid w:val="001E7605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C1CA6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57272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F35D7"/>
    <w:rsid w:val="005F393F"/>
    <w:rsid w:val="005F6166"/>
    <w:rsid w:val="00610207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B302F"/>
    <w:rsid w:val="008F0838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C7789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4D05"/>
    <w:rsid w:val="00A9605C"/>
    <w:rsid w:val="00AA016A"/>
    <w:rsid w:val="00AA0BFE"/>
    <w:rsid w:val="00AB2A20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3FDE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4965"/>
    <w:rsid w:val="00E66BAF"/>
    <w:rsid w:val="00E9762F"/>
    <w:rsid w:val="00EA12EF"/>
    <w:rsid w:val="00ED6BFD"/>
    <w:rsid w:val="00ED7DDA"/>
    <w:rsid w:val="00EE5C0A"/>
    <w:rsid w:val="00F04958"/>
    <w:rsid w:val="00F065CA"/>
    <w:rsid w:val="00F30927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4906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07EEF-694D-4E58-BA07-93504993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6</cp:revision>
  <cp:lastPrinted>2023-01-05T17:06:00Z</cp:lastPrinted>
  <dcterms:created xsi:type="dcterms:W3CDTF">2023-03-06T17:29:00Z</dcterms:created>
  <dcterms:modified xsi:type="dcterms:W3CDTF">2023-03-14T16:41:00Z</dcterms:modified>
</cp:coreProperties>
</file>