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41E8">
              <w:rPr>
                <w:rFonts w:cs="Arial"/>
                <w:b/>
                <w:sz w:val="20"/>
                <w:szCs w:val="20"/>
              </w:rPr>
            </w:r>
            <w:r w:rsidR="000641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3FAD870" w:rsidR="009A58CF" w:rsidRPr="004E6635" w:rsidRDefault="000641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641E8">
              <w:rPr>
                <w:rFonts w:cs="Arial"/>
                <w:b/>
                <w:sz w:val="20"/>
                <w:szCs w:val="20"/>
              </w:rPr>
            </w:r>
            <w:r w:rsidR="000641E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C83AE4">
        <w:trPr>
          <w:trHeight w:val="71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0DDE">
        <w:trPr>
          <w:cantSplit/>
          <w:trHeight w:hRule="exact" w:val="639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57F730F0" w:rsidR="002C1B19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</w:t>
            </w:r>
            <w:r w:rsidR="00DC49D0">
              <w:rPr>
                <w:rFonts w:cs="Arial"/>
                <w:sz w:val="22"/>
                <w:szCs w:val="22"/>
              </w:rPr>
              <w:t xml:space="preserve">requesting </w:t>
            </w:r>
            <w:r w:rsidR="001E4FD6">
              <w:rPr>
                <w:rFonts w:cs="Arial"/>
                <w:sz w:val="22"/>
                <w:szCs w:val="22"/>
              </w:rPr>
              <w:t xml:space="preserve">the </w:t>
            </w:r>
            <w:r w:rsidR="00DC49D0">
              <w:rPr>
                <w:rFonts w:cs="Arial"/>
                <w:sz w:val="22"/>
                <w:szCs w:val="22"/>
              </w:rPr>
              <w:t>following</w:t>
            </w:r>
            <w:r w:rsidR="001E4FD6">
              <w:rPr>
                <w:rFonts w:cs="Arial"/>
                <w:sz w:val="22"/>
                <w:szCs w:val="22"/>
              </w:rPr>
              <w:t>:</w:t>
            </w:r>
          </w:p>
          <w:p w14:paraId="67533B72" w14:textId="77777777" w:rsidR="00C83AE4" w:rsidRPr="00C83AE4" w:rsidRDefault="001E4FD6" w:rsidP="00C83AE4">
            <w:pPr>
              <w:spacing w:before="120"/>
              <w:rPr>
                <w:rFonts w:cs="Arial"/>
                <w:sz w:val="22"/>
                <w:szCs w:val="22"/>
              </w:rPr>
            </w:pPr>
            <w:r w:rsidRPr="00C83AE4">
              <w:rPr>
                <w:rFonts w:cs="Arial"/>
                <w:sz w:val="22"/>
                <w:szCs w:val="22"/>
              </w:rPr>
              <w:t xml:space="preserve">Authorize County Administration to execute </w:t>
            </w:r>
            <w:r w:rsidR="00C83AE4" w:rsidRPr="00C83AE4">
              <w:rPr>
                <w:rFonts w:cs="Arial"/>
                <w:sz w:val="22"/>
                <w:szCs w:val="22"/>
              </w:rPr>
              <w:t>two side letters with Deputy Sheriffs Association for the following:</w:t>
            </w:r>
          </w:p>
          <w:p w14:paraId="1F00CAF1" w14:textId="7C765364" w:rsidR="00776926" w:rsidRDefault="00776926" w:rsidP="00776926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  <w:p w14:paraId="5456D687" w14:textId="77777777" w:rsidR="00C83AE4" w:rsidRDefault="00C83AE4" w:rsidP="00C83AE4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Referral and Hiring Incentives</w:t>
            </w:r>
          </w:p>
          <w:p w14:paraId="2270DCC6" w14:textId="77777777" w:rsidR="00C83AE4" w:rsidRDefault="00C83AE4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</w:p>
          <w:p w14:paraId="5ED268B3" w14:textId="77777777" w:rsidR="00C83AE4" w:rsidRPr="00776926" w:rsidRDefault="00C83AE4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776926">
              <w:rPr>
                <w:rFonts w:cs="Arial"/>
                <w:sz w:val="22"/>
                <w:szCs w:val="22"/>
              </w:rPr>
              <w:t>Effective March 22, 2023, employees who refer a new employee for County employment will receive a referral bonus of $500 once the referred employee satisfactorily completes their probationary period.</w:t>
            </w:r>
          </w:p>
          <w:p w14:paraId="490793E3" w14:textId="77777777" w:rsidR="00C83AE4" w:rsidRPr="00C83AE4" w:rsidRDefault="00C83AE4" w:rsidP="00C83AE4">
            <w:pPr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C83AE4">
              <w:rPr>
                <w:rFonts w:cs="Arial"/>
                <w:sz w:val="22"/>
                <w:szCs w:val="22"/>
              </w:rPr>
              <w:t>New employees who are academy graduates employed after March 21, 2023, will receive a signing bonus of $5,000. Fifty percent is paid upon hire, and fifty percent is paid once they satisfactorily complete their probationary period.</w:t>
            </w:r>
          </w:p>
          <w:p w14:paraId="42C144C8" w14:textId="77777777" w:rsidR="00C83AE4" w:rsidRPr="00776926" w:rsidRDefault="00C83AE4" w:rsidP="00C83AE4">
            <w:pPr>
              <w:pStyle w:val="ListParagraph"/>
              <w:spacing w:before="120"/>
              <w:ind w:left="1800"/>
              <w:rPr>
                <w:rFonts w:cs="Arial"/>
                <w:sz w:val="22"/>
                <w:szCs w:val="22"/>
              </w:rPr>
            </w:pPr>
          </w:p>
          <w:p w14:paraId="0B7873EB" w14:textId="77777777" w:rsidR="00C83AE4" w:rsidRDefault="00C83AE4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776926">
              <w:rPr>
                <w:rFonts w:cs="Arial"/>
                <w:sz w:val="22"/>
                <w:szCs w:val="22"/>
              </w:rPr>
              <w:t>For new laterals, the employee will receive an additional $1,000 per year for previous P.C. 830.1(a) service minus their probationary period with a maximum of $10,000. Fifty percent is paid upon hire, and fifty percent is paid once they satisfactorily complete their probationary period.</w:t>
            </w:r>
          </w:p>
          <w:p w14:paraId="524C54B4" w14:textId="77777777" w:rsidR="00C83AE4" w:rsidRDefault="00C83AE4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</w:p>
          <w:p w14:paraId="7211B000" w14:textId="2703A7E2" w:rsidR="00C83AE4" w:rsidRDefault="00C83AE4" w:rsidP="00776926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Rural Area Pay</w:t>
            </w:r>
          </w:p>
          <w:p w14:paraId="4728C01C" w14:textId="77777777" w:rsidR="00C83AE4" w:rsidRDefault="00C83AE4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</w:p>
          <w:p w14:paraId="626A2D58" w14:textId="2B99D262" w:rsidR="00776926" w:rsidRDefault="00776926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  <w:r w:rsidRPr="00776926">
              <w:rPr>
                <w:rFonts w:cs="Arial"/>
                <w:sz w:val="22"/>
                <w:szCs w:val="22"/>
              </w:rPr>
              <w:t>Effective April 16, 2023, employees who live in Butte Valley or Happy Camp and who are routinely and consistently assigned to Butte Valley or Happy Camp will receive an additional $230.77 per pay period for Branch Assignment Premium.</w:t>
            </w:r>
          </w:p>
          <w:p w14:paraId="0B9C4A99" w14:textId="77777777" w:rsidR="00C83AE4" w:rsidRDefault="00C83AE4" w:rsidP="00C83AE4">
            <w:pPr>
              <w:pStyle w:val="ListParagraph"/>
              <w:spacing w:before="120"/>
              <w:ind w:left="360"/>
              <w:rPr>
                <w:rFonts w:cs="Arial"/>
                <w:sz w:val="22"/>
                <w:szCs w:val="22"/>
              </w:rPr>
            </w:pPr>
          </w:p>
          <w:p w14:paraId="045D055D" w14:textId="7FA36F16" w:rsidR="00776926" w:rsidRDefault="00776926" w:rsidP="0077692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3BE9A8F0" w14:textId="77777777" w:rsidR="00776926" w:rsidRDefault="00776926" w:rsidP="0077692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10FA1BE3" w14:textId="660C9553" w:rsidR="007A7A76" w:rsidRDefault="007A7A76" w:rsidP="007A7A76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  <w:p w14:paraId="0BC98465" w14:textId="77777777" w:rsidR="007A7A76" w:rsidRPr="00B22019" w:rsidRDefault="007A7A76" w:rsidP="007A7A76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  <w:p w14:paraId="4019D815" w14:textId="1CF930AC" w:rsidR="00DC49D0" w:rsidRPr="00DC49D0" w:rsidRDefault="00DC49D0" w:rsidP="00DC49D0">
            <w:pPr>
              <w:spacing w:before="120"/>
              <w:rPr>
                <w:rFonts w:cs="Arial"/>
                <w:sz w:val="22"/>
                <w:szCs w:val="22"/>
              </w:rPr>
            </w:pP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1E8">
              <w:rPr>
                <w:rFonts w:cs="Arial"/>
                <w:sz w:val="18"/>
                <w:szCs w:val="18"/>
              </w:rPr>
            </w:r>
            <w:r w:rsidR="000641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1E8">
              <w:rPr>
                <w:rFonts w:cs="Arial"/>
                <w:sz w:val="18"/>
                <w:szCs w:val="18"/>
              </w:rPr>
            </w:r>
            <w:r w:rsidR="000641E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50395EC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C83AE4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1E8">
              <w:rPr>
                <w:rFonts w:cs="Arial"/>
                <w:sz w:val="18"/>
                <w:szCs w:val="18"/>
              </w:rPr>
            </w:r>
            <w:r w:rsidR="000641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641E8">
              <w:rPr>
                <w:rFonts w:cs="Arial"/>
                <w:sz w:val="18"/>
                <w:szCs w:val="18"/>
              </w:rPr>
            </w:r>
            <w:r w:rsidR="000641E8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C83AE4">
        <w:trPr>
          <w:cantSplit/>
          <w:trHeight w:hRule="exact" w:val="144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A8381A9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677610" w:rsidRPr="004E6635" w14:paraId="796CF6F2" w14:textId="77777777" w:rsidTr="00177344">
        <w:trPr>
          <w:cantSplit/>
          <w:trHeight w:hRule="exact" w:val="54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59B6B4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3AE4">
        <w:trPr>
          <w:cantSplit/>
          <w:trHeight w:hRule="exact" w:val="115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11A9A27" w:rsidR="001E4FD6" w:rsidRPr="00B06030" w:rsidRDefault="00DC49D0" w:rsidP="00C83AE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Authorize County Administration to execute all side letters </w:t>
            </w:r>
            <w:r w:rsidR="001E4FD6">
              <w:rPr>
                <w:rFonts w:cs="Arial"/>
                <w:sz w:val="22"/>
                <w:szCs w:val="22"/>
              </w:rPr>
              <w:t>between the County of Siskiyou and t</w:t>
            </w:r>
            <w:r>
              <w:rPr>
                <w:rFonts w:cs="Arial"/>
                <w:sz w:val="22"/>
                <w:szCs w:val="22"/>
              </w:rPr>
              <w:t xml:space="preserve">he </w:t>
            </w:r>
            <w:r w:rsidR="00C83AE4">
              <w:rPr>
                <w:rFonts w:cs="Arial"/>
                <w:sz w:val="22"/>
                <w:szCs w:val="22"/>
              </w:rPr>
              <w:t>Deputy Sheriffs Association for referral and hiring incentives effective March 22, 2023, and rural area premium pay effective April 16,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98A"/>
    <w:multiLevelType w:val="hybridMultilevel"/>
    <w:tmpl w:val="DA3607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9E1283"/>
    <w:multiLevelType w:val="hybridMultilevel"/>
    <w:tmpl w:val="A85A2540"/>
    <w:lvl w:ilvl="0" w:tplc="5E66E8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1BDD"/>
    <w:multiLevelType w:val="hybridMultilevel"/>
    <w:tmpl w:val="9668B9EE"/>
    <w:lvl w:ilvl="0" w:tplc="E1B8E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C28D1"/>
    <w:multiLevelType w:val="hybridMultilevel"/>
    <w:tmpl w:val="A1CE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C5808"/>
    <w:multiLevelType w:val="hybridMultilevel"/>
    <w:tmpl w:val="F120E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093063">
    <w:abstractNumId w:val="7"/>
  </w:num>
  <w:num w:numId="2" w16cid:durableId="1977296861">
    <w:abstractNumId w:val="3"/>
  </w:num>
  <w:num w:numId="3" w16cid:durableId="1323705248">
    <w:abstractNumId w:val="4"/>
  </w:num>
  <w:num w:numId="4" w16cid:durableId="1381400295">
    <w:abstractNumId w:val="2"/>
  </w:num>
  <w:num w:numId="5" w16cid:durableId="892542847">
    <w:abstractNumId w:val="5"/>
  </w:num>
  <w:num w:numId="6" w16cid:durableId="1712723192">
    <w:abstractNumId w:val="6"/>
  </w:num>
  <w:num w:numId="7" w16cid:durableId="330258678">
    <w:abstractNumId w:val="0"/>
  </w:num>
  <w:num w:numId="8" w16cid:durableId="32660942">
    <w:abstractNumId w:val="8"/>
  </w:num>
  <w:num w:numId="9" w16cid:durableId="24900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641E8"/>
    <w:rsid w:val="000716B3"/>
    <w:rsid w:val="0007686D"/>
    <w:rsid w:val="00096E88"/>
    <w:rsid w:val="000A484E"/>
    <w:rsid w:val="000B1C3E"/>
    <w:rsid w:val="000C41D0"/>
    <w:rsid w:val="000D6B91"/>
    <w:rsid w:val="000E3749"/>
    <w:rsid w:val="001109D6"/>
    <w:rsid w:val="001156CF"/>
    <w:rsid w:val="00160D91"/>
    <w:rsid w:val="00163E1A"/>
    <w:rsid w:val="00177344"/>
    <w:rsid w:val="001A1456"/>
    <w:rsid w:val="001A552D"/>
    <w:rsid w:val="001E4FD6"/>
    <w:rsid w:val="001F3D25"/>
    <w:rsid w:val="001F3E19"/>
    <w:rsid w:val="001F4378"/>
    <w:rsid w:val="00212F2B"/>
    <w:rsid w:val="00220DDE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2089"/>
    <w:rsid w:val="005F35D7"/>
    <w:rsid w:val="00630A78"/>
    <w:rsid w:val="006331AA"/>
    <w:rsid w:val="006376C3"/>
    <w:rsid w:val="00645B7E"/>
    <w:rsid w:val="00662F60"/>
    <w:rsid w:val="00677610"/>
    <w:rsid w:val="006B0D88"/>
    <w:rsid w:val="006D1147"/>
    <w:rsid w:val="006E2E39"/>
    <w:rsid w:val="007514EA"/>
    <w:rsid w:val="0076281F"/>
    <w:rsid w:val="00771640"/>
    <w:rsid w:val="00776926"/>
    <w:rsid w:val="00776C26"/>
    <w:rsid w:val="007A7A76"/>
    <w:rsid w:val="007F15ED"/>
    <w:rsid w:val="008001BE"/>
    <w:rsid w:val="00826428"/>
    <w:rsid w:val="008320D6"/>
    <w:rsid w:val="00840AE1"/>
    <w:rsid w:val="008514F8"/>
    <w:rsid w:val="00877DC5"/>
    <w:rsid w:val="00887B36"/>
    <w:rsid w:val="008903BC"/>
    <w:rsid w:val="00896D36"/>
    <w:rsid w:val="008B6F8B"/>
    <w:rsid w:val="008F17A9"/>
    <w:rsid w:val="009042C7"/>
    <w:rsid w:val="00907678"/>
    <w:rsid w:val="00941215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1B81"/>
    <w:rsid w:val="00AF7294"/>
    <w:rsid w:val="00B020B9"/>
    <w:rsid w:val="00B06030"/>
    <w:rsid w:val="00B14C7F"/>
    <w:rsid w:val="00B22019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83AE4"/>
    <w:rsid w:val="00CA4F55"/>
    <w:rsid w:val="00CA51DF"/>
    <w:rsid w:val="00CB7A93"/>
    <w:rsid w:val="00CE42D0"/>
    <w:rsid w:val="00CF3D60"/>
    <w:rsid w:val="00CF6264"/>
    <w:rsid w:val="00D07DC0"/>
    <w:rsid w:val="00D213FC"/>
    <w:rsid w:val="00D31AA3"/>
    <w:rsid w:val="00D33D82"/>
    <w:rsid w:val="00D60FF1"/>
    <w:rsid w:val="00D62338"/>
    <w:rsid w:val="00D7096F"/>
    <w:rsid w:val="00DC1F4C"/>
    <w:rsid w:val="00DC49D0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EE605A"/>
    <w:rsid w:val="00F12BE7"/>
    <w:rsid w:val="00F1665B"/>
    <w:rsid w:val="00F206BB"/>
    <w:rsid w:val="00F218B0"/>
    <w:rsid w:val="00F26FFB"/>
    <w:rsid w:val="00F32421"/>
    <w:rsid w:val="00F40862"/>
    <w:rsid w:val="00F55BE0"/>
    <w:rsid w:val="00F664F2"/>
    <w:rsid w:val="00F70450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7</cp:revision>
  <cp:lastPrinted>2023-03-25T16:19:00Z</cp:lastPrinted>
  <dcterms:created xsi:type="dcterms:W3CDTF">2023-03-25T15:18:00Z</dcterms:created>
  <dcterms:modified xsi:type="dcterms:W3CDTF">2023-03-25T16:20:00Z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