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37D8">
              <w:rPr>
                <w:rFonts w:cs="Arial"/>
                <w:b/>
                <w:sz w:val="20"/>
                <w:szCs w:val="20"/>
              </w:rPr>
            </w:r>
            <w:r w:rsidR="000037D8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CEF242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BAE194" w:rsidR="009A58CF" w:rsidRPr="004E6635" w:rsidRDefault="000F4D4C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 4</w:t>
            </w:r>
            <w:r w:rsidR="00461EA2">
              <w:rPr>
                <w:rFonts w:cs="Arial"/>
                <w:b/>
                <w:sz w:val="20"/>
                <w:szCs w:val="20"/>
              </w:rPr>
              <w:t>, 202</w:t>
            </w:r>
            <w:r w:rsidR="002F5DAD">
              <w:rPr>
                <w:rFonts w:cs="Arial"/>
                <w:b/>
                <w:sz w:val="20"/>
                <w:szCs w:val="20"/>
              </w:rPr>
              <w:t>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5E8EF11" w:rsidR="00EA12EF" w:rsidRPr="004E6635" w:rsidRDefault="00461EA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037D8">
              <w:rPr>
                <w:rFonts w:cs="Arial"/>
                <w:b/>
                <w:sz w:val="20"/>
                <w:szCs w:val="20"/>
              </w:rPr>
            </w:r>
            <w:r w:rsidR="000037D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9F9BE0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4BA2AE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</w:t>
            </w:r>
            <w:r w:rsidR="0027172B">
              <w:rPr>
                <w:rFonts w:cs="Arial"/>
                <w:b/>
                <w:sz w:val="20"/>
                <w:szCs w:val="20"/>
              </w:rPr>
              <w:t>0</w:t>
            </w:r>
            <w:r>
              <w:rPr>
                <w:rFonts w:cs="Arial"/>
                <w:b/>
                <w:sz w:val="20"/>
                <w:szCs w:val="20"/>
              </w:rPr>
              <w:t>.842.8017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212511D" w:rsidR="00593663" w:rsidRPr="004E6635" w:rsidRDefault="00461EA2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49DAF956" w:rsidR="00C8022D" w:rsidRPr="004E6635" w:rsidRDefault="00461EA2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Melissa Cummins, Deputy CAO – Personnel &amp; Risk Management Officer</w:t>
            </w:r>
          </w:p>
        </w:tc>
      </w:tr>
      <w:tr w:rsidR="00877DC5" w:rsidRPr="004E6635" w14:paraId="5293AC22" w14:textId="77777777" w:rsidTr="000F4D4C">
        <w:trPr>
          <w:trHeight w:val="332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0F4D4C">
        <w:trPr>
          <w:cantSplit/>
          <w:trHeight w:hRule="exact" w:val="6832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0036364" w14:textId="57F730F0" w:rsidR="002C1B19" w:rsidRDefault="00461EA2" w:rsidP="00B61B93">
            <w:pPr>
              <w:spacing w:before="120"/>
              <w:rPr>
                <w:rFonts w:cs="Arial"/>
                <w:sz w:val="22"/>
                <w:szCs w:val="22"/>
              </w:rPr>
            </w:pPr>
            <w:r w:rsidRPr="00A667FD">
              <w:rPr>
                <w:rFonts w:cs="Arial"/>
                <w:sz w:val="22"/>
                <w:szCs w:val="22"/>
              </w:rPr>
              <w:t xml:space="preserve">The County Administrator’s Office is </w:t>
            </w:r>
            <w:r w:rsidR="00DC49D0">
              <w:rPr>
                <w:rFonts w:cs="Arial"/>
                <w:sz w:val="22"/>
                <w:szCs w:val="22"/>
              </w:rPr>
              <w:t xml:space="preserve">requesting </w:t>
            </w:r>
            <w:r w:rsidR="001E4FD6">
              <w:rPr>
                <w:rFonts w:cs="Arial"/>
                <w:sz w:val="22"/>
                <w:szCs w:val="22"/>
              </w:rPr>
              <w:t xml:space="preserve">the </w:t>
            </w:r>
            <w:r w:rsidR="00DC49D0">
              <w:rPr>
                <w:rFonts w:cs="Arial"/>
                <w:sz w:val="22"/>
                <w:szCs w:val="22"/>
              </w:rPr>
              <w:t>following</w:t>
            </w:r>
            <w:r w:rsidR="001E4FD6">
              <w:rPr>
                <w:rFonts w:cs="Arial"/>
                <w:sz w:val="22"/>
                <w:szCs w:val="22"/>
              </w:rPr>
              <w:t>:</w:t>
            </w:r>
          </w:p>
          <w:p w14:paraId="2B37F256" w14:textId="6CED030C" w:rsidR="00B22019" w:rsidRDefault="001E4FD6" w:rsidP="00B22019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E3749">
              <w:rPr>
                <w:rFonts w:cs="Arial"/>
                <w:sz w:val="22"/>
                <w:szCs w:val="22"/>
              </w:rPr>
              <w:t xml:space="preserve">Authorize County Administration to execute </w:t>
            </w:r>
            <w:r w:rsidR="000E3749">
              <w:rPr>
                <w:rFonts w:cs="Arial"/>
                <w:sz w:val="22"/>
                <w:szCs w:val="22"/>
              </w:rPr>
              <w:t xml:space="preserve">a </w:t>
            </w:r>
            <w:r w:rsidRPr="000E3749">
              <w:rPr>
                <w:rFonts w:cs="Arial"/>
                <w:sz w:val="22"/>
                <w:szCs w:val="22"/>
              </w:rPr>
              <w:t>side letter</w:t>
            </w:r>
            <w:r w:rsidR="000E3749">
              <w:rPr>
                <w:rFonts w:cs="Arial"/>
                <w:sz w:val="22"/>
                <w:szCs w:val="22"/>
              </w:rPr>
              <w:t xml:space="preserve"> </w:t>
            </w:r>
            <w:r w:rsidRPr="000E3749">
              <w:rPr>
                <w:rFonts w:cs="Arial"/>
                <w:sz w:val="22"/>
                <w:szCs w:val="22"/>
              </w:rPr>
              <w:t xml:space="preserve">with </w:t>
            </w:r>
            <w:r w:rsidR="00DC49D0" w:rsidRPr="000E3749">
              <w:rPr>
                <w:rFonts w:cs="Arial"/>
                <w:sz w:val="22"/>
                <w:szCs w:val="22"/>
              </w:rPr>
              <w:t>Organized Employees of Siskiyou County</w:t>
            </w:r>
            <w:r w:rsidR="000E3749" w:rsidRPr="000E3749">
              <w:rPr>
                <w:rFonts w:cs="Arial"/>
                <w:sz w:val="22"/>
                <w:szCs w:val="22"/>
              </w:rPr>
              <w:t xml:space="preserve"> </w:t>
            </w:r>
            <w:r w:rsidR="00DC49D0" w:rsidRPr="000E3749">
              <w:rPr>
                <w:rFonts w:cs="Arial"/>
                <w:sz w:val="22"/>
                <w:szCs w:val="22"/>
              </w:rPr>
              <w:t>Professional Units</w:t>
            </w:r>
            <w:r w:rsidR="000E3749" w:rsidRPr="000E3749">
              <w:rPr>
                <w:rFonts w:cs="Arial"/>
                <w:sz w:val="22"/>
                <w:szCs w:val="22"/>
              </w:rPr>
              <w:t xml:space="preserve"> to add the classification of Social Worker IV as eligible for Child Welfare Services incentives as outlined in the attached side letter</w:t>
            </w:r>
            <w:r w:rsidR="00B22019" w:rsidRPr="000E3749">
              <w:rPr>
                <w:rFonts w:cs="Arial"/>
                <w:sz w:val="22"/>
                <w:szCs w:val="22"/>
              </w:rPr>
              <w:t xml:space="preserve">. </w:t>
            </w:r>
          </w:p>
          <w:p w14:paraId="1BB74D3E" w14:textId="3756DDB7" w:rsidR="007A7A76" w:rsidRDefault="007A7A76" w:rsidP="007A7A7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Estimated # of eligible positions = 3</w:t>
            </w:r>
          </w:p>
          <w:p w14:paraId="4EA632B0" w14:textId="5DEA2DE1" w:rsidR="007A7A76" w:rsidRDefault="007A7A76" w:rsidP="007A7A7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Estimated Hiring Bonuses Costs = $ 3,000.00</w:t>
            </w:r>
          </w:p>
          <w:p w14:paraId="7BEEE8A0" w14:textId="4471D00C" w:rsidR="007A7A76" w:rsidRDefault="007A7A76" w:rsidP="007A7A7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Estimated Retention Bonuses Costs = $ 3,000.00 (annually)</w:t>
            </w:r>
          </w:p>
          <w:p w14:paraId="5D4725CA" w14:textId="5B9AC2D1" w:rsidR="007A7A76" w:rsidRDefault="007A7A76" w:rsidP="007A7A76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Estimated Premium Pay Costs = $ 10,500.00 (annually)</w:t>
            </w:r>
          </w:p>
          <w:p w14:paraId="5B30B5A6" w14:textId="4DBC5E70" w:rsidR="007A7A76" w:rsidRPr="007A7A76" w:rsidRDefault="007A7A76" w:rsidP="007A7A76">
            <w:pPr>
              <w:spacing w:before="120"/>
              <w:ind w:left="18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* These incentives </w:t>
            </w:r>
            <w:r w:rsidR="00776926">
              <w:rPr>
                <w:rFonts w:cs="Arial"/>
                <w:sz w:val="22"/>
                <w:szCs w:val="22"/>
              </w:rPr>
              <w:t xml:space="preserve">were </w:t>
            </w:r>
            <w:r>
              <w:rPr>
                <w:rFonts w:cs="Arial"/>
                <w:sz w:val="22"/>
                <w:szCs w:val="22"/>
              </w:rPr>
              <w:t xml:space="preserve">funded through </w:t>
            </w:r>
            <w:r w:rsidR="00776926">
              <w:rPr>
                <w:rFonts w:cs="Arial"/>
                <w:sz w:val="22"/>
                <w:szCs w:val="22"/>
              </w:rPr>
              <w:t>the California Department of Social Services Emergency Response Enhancement Funding Program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A217978" w14:textId="77777777" w:rsidR="00B22019" w:rsidRDefault="000E3749" w:rsidP="00B22019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B22019">
              <w:rPr>
                <w:rFonts w:cs="Arial"/>
                <w:sz w:val="22"/>
                <w:szCs w:val="22"/>
              </w:rPr>
              <w:t xml:space="preserve">Authorize County Administration to execute a side letter with </w:t>
            </w:r>
            <w:r w:rsidR="00AF1B81" w:rsidRPr="00B22019">
              <w:rPr>
                <w:rFonts w:cs="Arial"/>
                <w:sz w:val="22"/>
                <w:szCs w:val="22"/>
              </w:rPr>
              <w:t>Siskiyou County Correctional Peace Officer Association for the following:</w:t>
            </w:r>
          </w:p>
          <w:p w14:paraId="6D09F95C" w14:textId="77777777" w:rsidR="00B22019" w:rsidRDefault="00B22019" w:rsidP="00B22019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210E734F" w14:textId="2DD9AA20" w:rsidR="00776926" w:rsidRDefault="00B22019" w:rsidP="00776926">
            <w:pPr>
              <w:pStyle w:val="ListParagraph"/>
              <w:spacing w:before="120"/>
              <w:ind w:left="1440"/>
              <w:rPr>
                <w:rFonts w:cs="Arial"/>
              </w:rPr>
            </w:pPr>
            <w:r w:rsidRPr="00B22019">
              <w:rPr>
                <w:rFonts w:cs="Arial"/>
                <w:sz w:val="22"/>
                <w:szCs w:val="22"/>
              </w:rPr>
              <w:t>E</w:t>
            </w:r>
            <w:r w:rsidR="00DC49D0" w:rsidRPr="00B22019">
              <w:rPr>
                <w:rFonts w:cs="Arial"/>
                <w:sz w:val="22"/>
                <w:szCs w:val="22"/>
              </w:rPr>
              <w:t>ffective March 22, 2023, employees who refer a new employee for County employment will receive a referral bonus of $500 once the referred employee satisfactorily completes their probationary period</w:t>
            </w:r>
            <w:r w:rsidR="00840AE1" w:rsidRPr="00B22019">
              <w:rPr>
                <w:rFonts w:cs="Arial"/>
              </w:rPr>
              <w:t xml:space="preserve"> </w:t>
            </w:r>
            <w:bookmarkStart w:id="2" w:name="_Hlk130622958"/>
            <w:r w:rsidR="00840AE1" w:rsidRPr="00B22019">
              <w:rPr>
                <w:rFonts w:cs="Arial"/>
              </w:rPr>
              <w:t>or if they are exempt from a probationary period completion of twenty-six pay periods of County service</w:t>
            </w:r>
            <w:bookmarkEnd w:id="2"/>
            <w:r w:rsidR="00840AE1" w:rsidRPr="00B22019">
              <w:rPr>
                <w:rFonts w:cs="Arial"/>
              </w:rPr>
              <w:t>.</w:t>
            </w:r>
          </w:p>
          <w:p w14:paraId="52D3FE91" w14:textId="77777777" w:rsidR="00776926" w:rsidRDefault="00776926" w:rsidP="00776926">
            <w:pPr>
              <w:pStyle w:val="ListParagraph"/>
              <w:spacing w:before="120"/>
              <w:ind w:left="2160"/>
              <w:rPr>
                <w:rFonts w:cs="Arial"/>
              </w:rPr>
            </w:pPr>
          </w:p>
          <w:p w14:paraId="12604EE4" w14:textId="0649A88E" w:rsidR="00776926" w:rsidRPr="00776926" w:rsidRDefault="00776926" w:rsidP="00776926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cs="Arial"/>
              </w:rPr>
            </w:pPr>
            <w:r>
              <w:rPr>
                <w:rFonts w:cs="Arial"/>
              </w:rPr>
              <w:t>Estimated costs would depend on the number of employees who make referrals.</w:t>
            </w:r>
          </w:p>
          <w:p w14:paraId="29D45AD0" w14:textId="77777777" w:rsidR="00B22019" w:rsidRPr="00B22019" w:rsidRDefault="00B22019" w:rsidP="00B22019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17113669" w14:textId="49CD433D" w:rsidR="007A7A76" w:rsidRDefault="00B22019" w:rsidP="007A7A76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B22019">
              <w:rPr>
                <w:rFonts w:cs="Arial"/>
                <w:sz w:val="22"/>
                <w:szCs w:val="22"/>
              </w:rPr>
              <w:t xml:space="preserve">Authorize County Administration to execute a side letter with Organized Employees of Siskiyou County – Miscellaneous Unit to add a uniform allowance of $44.00 per pay period for the classification of Community Service Officer effective April 16, 2023.  </w:t>
            </w:r>
          </w:p>
          <w:p w14:paraId="62995E10" w14:textId="2468DD04" w:rsidR="007A7A76" w:rsidRPr="007A7A76" w:rsidRDefault="007A7A76" w:rsidP="007A7A76">
            <w:pPr>
              <w:pStyle w:val="ListParagraph"/>
              <w:numPr>
                <w:ilvl w:val="1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annual cost $2,288.00</w:t>
            </w:r>
          </w:p>
          <w:p w14:paraId="0BC98465" w14:textId="77777777" w:rsidR="007A7A76" w:rsidRPr="00B22019" w:rsidRDefault="007A7A76" w:rsidP="007A7A76">
            <w:pPr>
              <w:pStyle w:val="ListParagraph"/>
              <w:spacing w:before="120"/>
              <w:rPr>
                <w:rFonts w:cs="Arial"/>
                <w:sz w:val="22"/>
                <w:szCs w:val="22"/>
              </w:rPr>
            </w:pPr>
          </w:p>
          <w:p w14:paraId="063F644E" w14:textId="7F564F5B" w:rsidR="002D72AF" w:rsidRPr="00A667FD" w:rsidRDefault="002D72AF" w:rsidP="00896D36">
            <w:pPr>
              <w:pStyle w:val="ListParagraph"/>
              <w:spacing w:before="120"/>
              <w:ind w:left="1440"/>
              <w:rPr>
                <w:rFonts w:cs="Arial"/>
                <w:sz w:val="22"/>
                <w:szCs w:val="22"/>
              </w:rPr>
            </w:pP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7D8">
              <w:rPr>
                <w:rFonts w:cs="Arial"/>
                <w:sz w:val="18"/>
                <w:szCs w:val="18"/>
              </w:rPr>
            </w:r>
            <w:r w:rsidR="000037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5059C12" w:rsidR="004242AC" w:rsidRPr="004E6635" w:rsidRDefault="00461EA2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7D8">
              <w:rPr>
                <w:rFonts w:cs="Arial"/>
                <w:sz w:val="18"/>
                <w:szCs w:val="18"/>
              </w:rPr>
            </w:r>
            <w:r w:rsidR="000037D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69D1B8A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4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6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7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8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9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C6C39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0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7D8">
              <w:rPr>
                <w:rFonts w:cs="Arial"/>
                <w:sz w:val="18"/>
                <w:szCs w:val="18"/>
              </w:rPr>
            </w:r>
            <w:r w:rsidR="000037D8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="00461EA2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1E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37D8">
              <w:rPr>
                <w:rFonts w:cs="Arial"/>
                <w:sz w:val="18"/>
                <w:szCs w:val="18"/>
              </w:rPr>
            </w:r>
            <w:r w:rsidR="000037D8">
              <w:rPr>
                <w:rFonts w:cs="Arial"/>
                <w:sz w:val="18"/>
                <w:szCs w:val="18"/>
              </w:rPr>
              <w:fldChar w:fldCharType="separate"/>
            </w:r>
            <w:r w:rsidR="00461E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4366C7E5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461EA2">
              <w:rPr>
                <w:rFonts w:cs="Arial"/>
                <w:sz w:val="18"/>
                <w:szCs w:val="18"/>
              </w:rPr>
              <w:t>N/A</w:t>
            </w:r>
          </w:p>
        </w:tc>
      </w:tr>
      <w:bookmarkStart w:id="11" w:name="Text16"/>
      <w:tr w:rsidR="00677610" w:rsidRPr="004E6635" w14:paraId="50688914" w14:textId="77777777" w:rsidTr="007415FA">
        <w:trPr>
          <w:cantSplit/>
          <w:trHeight w:hRule="exact" w:val="6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A8381A9" w:rsidR="00677610" w:rsidRPr="00A667FD" w:rsidRDefault="00677610" w:rsidP="00270599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77610" w:rsidRPr="004E6635" w14:paraId="796CF6F2" w14:textId="77777777" w:rsidTr="007415FA">
        <w:trPr>
          <w:cantSplit/>
          <w:trHeight w:hRule="exact" w:val="450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2126A1AA" w:rsidR="00677610" w:rsidRPr="004E6635" w:rsidRDefault="000037D8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c</w:t>
            </w:r>
            <w:r w:rsidR="007415FA">
              <w:rPr>
                <w:rFonts w:cs="Arial"/>
                <w:sz w:val="20"/>
                <w:szCs w:val="20"/>
              </w:rPr>
              <w:t>osts for each item are included in summary section above.</w:t>
            </w:r>
            <w:r w:rsidR="00F70450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0037D8">
        <w:trPr>
          <w:cantSplit/>
          <w:trHeight w:hRule="exact" w:val="1234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B433E7F" w14:textId="2B6861F2" w:rsidR="00AE688D" w:rsidRDefault="00DC49D0" w:rsidP="00A667FD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Authorize County Administration to execute </w:t>
            </w:r>
            <w:r w:rsidR="000037D8">
              <w:rPr>
                <w:rFonts w:cs="Arial"/>
                <w:sz w:val="22"/>
                <w:szCs w:val="22"/>
              </w:rPr>
              <w:t xml:space="preserve">the side </w:t>
            </w:r>
            <w:r>
              <w:rPr>
                <w:rFonts w:cs="Arial"/>
                <w:sz w:val="22"/>
                <w:szCs w:val="22"/>
              </w:rPr>
              <w:t xml:space="preserve">letters </w:t>
            </w:r>
            <w:r w:rsidR="001E4FD6">
              <w:rPr>
                <w:rFonts w:cs="Arial"/>
                <w:sz w:val="22"/>
                <w:szCs w:val="22"/>
              </w:rPr>
              <w:t>between the County of Siskiyo</w:t>
            </w:r>
            <w:r w:rsidR="000037D8">
              <w:rPr>
                <w:rFonts w:cs="Arial"/>
                <w:sz w:val="22"/>
                <w:szCs w:val="22"/>
              </w:rPr>
              <w:t xml:space="preserve">u and the </w:t>
            </w:r>
            <w:r w:rsidRPr="00DC49D0">
              <w:rPr>
                <w:rFonts w:cs="Arial"/>
                <w:sz w:val="22"/>
                <w:szCs w:val="22"/>
              </w:rPr>
              <w:t>Organized Employees of Siskiyou County</w:t>
            </w:r>
            <w:r w:rsidR="000037D8">
              <w:rPr>
                <w:rFonts w:cs="Arial"/>
                <w:sz w:val="22"/>
                <w:szCs w:val="22"/>
              </w:rPr>
              <w:t xml:space="preserve"> </w:t>
            </w:r>
            <w:r w:rsidRPr="00DC49D0">
              <w:rPr>
                <w:rFonts w:cs="Arial"/>
                <w:sz w:val="22"/>
                <w:szCs w:val="22"/>
              </w:rPr>
              <w:t>Professional Unit</w:t>
            </w:r>
            <w:r>
              <w:rPr>
                <w:rFonts w:cs="Arial"/>
                <w:sz w:val="22"/>
                <w:szCs w:val="22"/>
              </w:rPr>
              <w:t>,</w:t>
            </w:r>
            <w:r w:rsidRPr="00DC49D0">
              <w:rPr>
                <w:rFonts w:cs="Arial"/>
                <w:sz w:val="22"/>
                <w:szCs w:val="22"/>
              </w:rPr>
              <w:t xml:space="preserve"> </w:t>
            </w:r>
            <w:r w:rsidR="000037D8" w:rsidRPr="00B22019">
              <w:rPr>
                <w:rFonts w:cs="Arial"/>
                <w:sz w:val="22"/>
                <w:szCs w:val="22"/>
              </w:rPr>
              <w:t>Siskiyou County Correctional Peace Officer Association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="001E4FD6">
              <w:rPr>
                <w:rFonts w:cs="Arial"/>
                <w:sz w:val="22"/>
                <w:szCs w:val="22"/>
              </w:rPr>
              <w:t xml:space="preserve">and </w:t>
            </w:r>
            <w:r w:rsidR="000037D8" w:rsidRPr="00B22019">
              <w:rPr>
                <w:rFonts w:cs="Arial"/>
                <w:sz w:val="22"/>
                <w:szCs w:val="22"/>
              </w:rPr>
              <w:t>Organized Employees of Siskiyou County – Miscellaneous Unit</w:t>
            </w:r>
            <w:r w:rsidR="000037D8">
              <w:rPr>
                <w:rFonts w:cs="Arial"/>
                <w:sz w:val="22"/>
                <w:szCs w:val="22"/>
              </w:rPr>
              <w:t xml:space="preserve"> for the effective dates outlined in each side letter.</w:t>
            </w:r>
          </w:p>
          <w:p w14:paraId="0B327F4E" w14:textId="288A0FFC" w:rsidR="001E4FD6" w:rsidRPr="00B06030" w:rsidRDefault="001E4FD6" w:rsidP="00A667FD">
            <w:pPr>
              <w:spacing w:before="120" w:after="120"/>
              <w:rPr>
                <w:rFonts w:cs="Arial"/>
              </w:rPr>
            </w:pP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B14C7F">
        <w:trPr>
          <w:cantSplit/>
          <w:trHeight w:val="327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98A"/>
    <w:multiLevelType w:val="hybridMultilevel"/>
    <w:tmpl w:val="DA360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9E1283"/>
    <w:multiLevelType w:val="hybridMultilevel"/>
    <w:tmpl w:val="A85A2540"/>
    <w:lvl w:ilvl="0" w:tplc="5E66E8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C07D8E"/>
    <w:multiLevelType w:val="hybridMultilevel"/>
    <w:tmpl w:val="CE426B96"/>
    <w:lvl w:ilvl="0" w:tplc="55E4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8DC"/>
    <w:multiLevelType w:val="hybridMultilevel"/>
    <w:tmpl w:val="125CDA92"/>
    <w:lvl w:ilvl="0" w:tplc="F968B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08C0"/>
    <w:multiLevelType w:val="hybridMultilevel"/>
    <w:tmpl w:val="CAAC9B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1BDD"/>
    <w:multiLevelType w:val="hybridMultilevel"/>
    <w:tmpl w:val="9668B9EE"/>
    <w:lvl w:ilvl="0" w:tplc="E1B8E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C28D1"/>
    <w:multiLevelType w:val="hybridMultilevel"/>
    <w:tmpl w:val="A1CE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29CC"/>
    <w:multiLevelType w:val="hybridMultilevel"/>
    <w:tmpl w:val="6B90D122"/>
    <w:lvl w:ilvl="0" w:tplc="A706054A">
      <w:start w:val="13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C5808"/>
    <w:multiLevelType w:val="hybridMultilevel"/>
    <w:tmpl w:val="F120E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093063">
    <w:abstractNumId w:val="7"/>
  </w:num>
  <w:num w:numId="2" w16cid:durableId="1977296861">
    <w:abstractNumId w:val="3"/>
  </w:num>
  <w:num w:numId="3" w16cid:durableId="1323705248">
    <w:abstractNumId w:val="4"/>
  </w:num>
  <w:num w:numId="4" w16cid:durableId="1381400295">
    <w:abstractNumId w:val="2"/>
  </w:num>
  <w:num w:numId="5" w16cid:durableId="892542847">
    <w:abstractNumId w:val="5"/>
  </w:num>
  <w:num w:numId="6" w16cid:durableId="1712723192">
    <w:abstractNumId w:val="6"/>
  </w:num>
  <w:num w:numId="7" w16cid:durableId="330258678">
    <w:abstractNumId w:val="0"/>
  </w:num>
  <w:num w:numId="8" w16cid:durableId="32660942">
    <w:abstractNumId w:val="8"/>
  </w:num>
  <w:num w:numId="9" w16cid:durableId="24900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37D8"/>
    <w:rsid w:val="0000408F"/>
    <w:rsid w:val="0001198F"/>
    <w:rsid w:val="00054616"/>
    <w:rsid w:val="000546CF"/>
    <w:rsid w:val="000716B3"/>
    <w:rsid w:val="0007686D"/>
    <w:rsid w:val="00096E88"/>
    <w:rsid w:val="000A484E"/>
    <w:rsid w:val="000B1C3E"/>
    <w:rsid w:val="000C41D0"/>
    <w:rsid w:val="000D6B91"/>
    <w:rsid w:val="000E3749"/>
    <w:rsid w:val="000F4D4C"/>
    <w:rsid w:val="001156CF"/>
    <w:rsid w:val="00160D91"/>
    <w:rsid w:val="00163E1A"/>
    <w:rsid w:val="001A1456"/>
    <w:rsid w:val="001A552D"/>
    <w:rsid w:val="001E4FD6"/>
    <w:rsid w:val="001F3D25"/>
    <w:rsid w:val="001F3E19"/>
    <w:rsid w:val="001F4378"/>
    <w:rsid w:val="00212F2B"/>
    <w:rsid w:val="002677F3"/>
    <w:rsid w:val="00270599"/>
    <w:rsid w:val="0027172B"/>
    <w:rsid w:val="00280060"/>
    <w:rsid w:val="0029655A"/>
    <w:rsid w:val="002A02F9"/>
    <w:rsid w:val="002A08C1"/>
    <w:rsid w:val="002C1B19"/>
    <w:rsid w:val="002D72AF"/>
    <w:rsid w:val="002E148E"/>
    <w:rsid w:val="002F5DAD"/>
    <w:rsid w:val="002F6100"/>
    <w:rsid w:val="00323D92"/>
    <w:rsid w:val="00347C49"/>
    <w:rsid w:val="0035119D"/>
    <w:rsid w:val="00351A8D"/>
    <w:rsid w:val="003761D4"/>
    <w:rsid w:val="00396C4B"/>
    <w:rsid w:val="003A40BB"/>
    <w:rsid w:val="003E6DD1"/>
    <w:rsid w:val="00405BE2"/>
    <w:rsid w:val="004200BE"/>
    <w:rsid w:val="004242AC"/>
    <w:rsid w:val="00441197"/>
    <w:rsid w:val="004433C6"/>
    <w:rsid w:val="00443855"/>
    <w:rsid w:val="0045206A"/>
    <w:rsid w:val="00461EA2"/>
    <w:rsid w:val="004C121B"/>
    <w:rsid w:val="004C3523"/>
    <w:rsid w:val="004E6635"/>
    <w:rsid w:val="00506225"/>
    <w:rsid w:val="00510FCF"/>
    <w:rsid w:val="005163ED"/>
    <w:rsid w:val="00557998"/>
    <w:rsid w:val="0056511E"/>
    <w:rsid w:val="0056540D"/>
    <w:rsid w:val="00593663"/>
    <w:rsid w:val="005A7D15"/>
    <w:rsid w:val="005B6C52"/>
    <w:rsid w:val="005C08E3"/>
    <w:rsid w:val="005D56AE"/>
    <w:rsid w:val="005F2089"/>
    <w:rsid w:val="005F35D7"/>
    <w:rsid w:val="00630A78"/>
    <w:rsid w:val="006331AA"/>
    <w:rsid w:val="006376C3"/>
    <w:rsid w:val="00645B7E"/>
    <w:rsid w:val="00662F60"/>
    <w:rsid w:val="00677610"/>
    <w:rsid w:val="006B0D88"/>
    <w:rsid w:val="006D1147"/>
    <w:rsid w:val="006E2E39"/>
    <w:rsid w:val="007415FA"/>
    <w:rsid w:val="007514EA"/>
    <w:rsid w:val="0076281F"/>
    <w:rsid w:val="00771640"/>
    <w:rsid w:val="00776926"/>
    <w:rsid w:val="00776C26"/>
    <w:rsid w:val="007A7A76"/>
    <w:rsid w:val="007F15ED"/>
    <w:rsid w:val="008001BE"/>
    <w:rsid w:val="00826428"/>
    <w:rsid w:val="008320D6"/>
    <w:rsid w:val="00840AE1"/>
    <w:rsid w:val="008514F8"/>
    <w:rsid w:val="00877DC5"/>
    <w:rsid w:val="00887B36"/>
    <w:rsid w:val="008903BC"/>
    <w:rsid w:val="00896D36"/>
    <w:rsid w:val="008B6F8B"/>
    <w:rsid w:val="008F17A9"/>
    <w:rsid w:val="009042C7"/>
    <w:rsid w:val="00907678"/>
    <w:rsid w:val="00941215"/>
    <w:rsid w:val="009668DA"/>
    <w:rsid w:val="00973957"/>
    <w:rsid w:val="009746DC"/>
    <w:rsid w:val="009A087D"/>
    <w:rsid w:val="009A58CF"/>
    <w:rsid w:val="009B4DDF"/>
    <w:rsid w:val="009B5441"/>
    <w:rsid w:val="009C4B29"/>
    <w:rsid w:val="009E1F0E"/>
    <w:rsid w:val="009E2B16"/>
    <w:rsid w:val="009E7391"/>
    <w:rsid w:val="00A004A1"/>
    <w:rsid w:val="00A1290D"/>
    <w:rsid w:val="00A14EC6"/>
    <w:rsid w:val="00A231FE"/>
    <w:rsid w:val="00A42C6B"/>
    <w:rsid w:val="00A667FD"/>
    <w:rsid w:val="00A7441D"/>
    <w:rsid w:val="00AB4ED4"/>
    <w:rsid w:val="00AC5A5C"/>
    <w:rsid w:val="00AE224E"/>
    <w:rsid w:val="00AE688D"/>
    <w:rsid w:val="00AF1B81"/>
    <w:rsid w:val="00AF7294"/>
    <w:rsid w:val="00B020B9"/>
    <w:rsid w:val="00B06030"/>
    <w:rsid w:val="00B14C7F"/>
    <w:rsid w:val="00B22019"/>
    <w:rsid w:val="00B23455"/>
    <w:rsid w:val="00B40269"/>
    <w:rsid w:val="00B43657"/>
    <w:rsid w:val="00B4714F"/>
    <w:rsid w:val="00B56C8F"/>
    <w:rsid w:val="00B61B93"/>
    <w:rsid w:val="00B71F49"/>
    <w:rsid w:val="00B744BC"/>
    <w:rsid w:val="00B95ABF"/>
    <w:rsid w:val="00B97907"/>
    <w:rsid w:val="00BA0BD7"/>
    <w:rsid w:val="00BB2ADA"/>
    <w:rsid w:val="00C040CE"/>
    <w:rsid w:val="00C15E26"/>
    <w:rsid w:val="00C16018"/>
    <w:rsid w:val="00C3281B"/>
    <w:rsid w:val="00C35CB3"/>
    <w:rsid w:val="00C53E39"/>
    <w:rsid w:val="00C55A4A"/>
    <w:rsid w:val="00C8022D"/>
    <w:rsid w:val="00C82D56"/>
    <w:rsid w:val="00CA4F55"/>
    <w:rsid w:val="00CA51DF"/>
    <w:rsid w:val="00CB7A93"/>
    <w:rsid w:val="00CE42D0"/>
    <w:rsid w:val="00CF3D60"/>
    <w:rsid w:val="00CF6264"/>
    <w:rsid w:val="00D07DC0"/>
    <w:rsid w:val="00D213FC"/>
    <w:rsid w:val="00D31AA3"/>
    <w:rsid w:val="00D33D82"/>
    <w:rsid w:val="00D60FF1"/>
    <w:rsid w:val="00D62338"/>
    <w:rsid w:val="00D7096F"/>
    <w:rsid w:val="00DC1F4C"/>
    <w:rsid w:val="00DC49D0"/>
    <w:rsid w:val="00DE216E"/>
    <w:rsid w:val="00DF2C0D"/>
    <w:rsid w:val="00DF4076"/>
    <w:rsid w:val="00DF6B41"/>
    <w:rsid w:val="00E22247"/>
    <w:rsid w:val="00E418B8"/>
    <w:rsid w:val="00E64A1E"/>
    <w:rsid w:val="00E66BAF"/>
    <w:rsid w:val="00EA12EF"/>
    <w:rsid w:val="00EA66FF"/>
    <w:rsid w:val="00EE5C0A"/>
    <w:rsid w:val="00F12BE7"/>
    <w:rsid w:val="00F1665B"/>
    <w:rsid w:val="00F206BB"/>
    <w:rsid w:val="00F218B0"/>
    <w:rsid w:val="00F26FFB"/>
    <w:rsid w:val="00F32421"/>
    <w:rsid w:val="00F40862"/>
    <w:rsid w:val="00F55BE0"/>
    <w:rsid w:val="00F664F2"/>
    <w:rsid w:val="00F70450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AE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226A6590-EAE4-40BD-B0FA-3D0A3811E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Melissa Cummins</cp:lastModifiedBy>
  <cp:revision>4</cp:revision>
  <cp:lastPrinted>2015-01-16T16:51:00Z</cp:lastPrinted>
  <dcterms:created xsi:type="dcterms:W3CDTF">2023-03-25T15:20:00Z</dcterms:created>
  <dcterms:modified xsi:type="dcterms:W3CDTF">2023-03-25T15:25:00Z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