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525E12" w:rsidRDefault="00C46C25" w:rsidP="008D7533">
      <w:pPr>
        <w:pStyle w:val="Title"/>
        <w:rPr>
          <w:rFonts w:cs="Arial"/>
          <w:szCs w:val="22"/>
        </w:rPr>
      </w:pPr>
      <w:r w:rsidRPr="00525E12">
        <w:rPr>
          <w:rFonts w:cs="Arial"/>
          <w:szCs w:val="22"/>
        </w:rPr>
        <w:t>R</w:t>
      </w:r>
      <w:r w:rsidR="001B1D98" w:rsidRPr="00525E12">
        <w:rPr>
          <w:rFonts w:cs="Arial"/>
          <w:szCs w:val="22"/>
        </w:rPr>
        <w:t>esolution No</w:t>
      </w:r>
      <w:r w:rsidRPr="00525E12">
        <w:rPr>
          <w:rFonts w:cs="Arial"/>
          <w:szCs w:val="22"/>
        </w:rPr>
        <w:t>. _</w:t>
      </w:r>
      <w:r w:rsidR="008D7533" w:rsidRPr="00525E12">
        <w:rPr>
          <w:rFonts w:cs="Arial"/>
          <w:szCs w:val="22"/>
        </w:rPr>
        <w:t>___</w:t>
      </w:r>
      <w:r w:rsidRPr="00525E12">
        <w:rPr>
          <w:rFonts w:cs="Arial"/>
          <w:szCs w:val="22"/>
        </w:rPr>
        <w:t>_-_</w:t>
      </w:r>
      <w:r w:rsidR="008D7533" w:rsidRPr="00525E12">
        <w:rPr>
          <w:rFonts w:cs="Arial"/>
          <w:szCs w:val="22"/>
        </w:rPr>
        <w:t>__</w:t>
      </w:r>
      <w:r w:rsidRPr="00525E12">
        <w:rPr>
          <w:rFonts w:cs="Arial"/>
          <w:szCs w:val="22"/>
        </w:rPr>
        <w:t>__</w:t>
      </w:r>
    </w:p>
    <w:p w14:paraId="04507E44" w14:textId="77777777" w:rsidR="00C46C25" w:rsidRPr="00525E12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525E12" w:rsidRDefault="00C46C25" w:rsidP="008D7533">
      <w:pPr>
        <w:pStyle w:val="Subtitle"/>
        <w:rPr>
          <w:rFonts w:ascii="Arial Bold" w:hAnsi="Arial Bold" w:cs="Arial"/>
          <w:szCs w:val="22"/>
        </w:rPr>
      </w:pPr>
      <w:r w:rsidRPr="00525E12">
        <w:rPr>
          <w:rFonts w:ascii="Arial Bold" w:hAnsi="Arial Bold" w:cs="Arial"/>
          <w:szCs w:val="22"/>
        </w:rPr>
        <w:t>Resolution of the</w:t>
      </w:r>
      <w:r w:rsidR="004D584F" w:rsidRPr="00525E12">
        <w:rPr>
          <w:rFonts w:ascii="Arial Bold" w:hAnsi="Arial Bold" w:cs="Arial"/>
          <w:szCs w:val="22"/>
        </w:rPr>
        <w:t xml:space="preserve"> </w:t>
      </w:r>
      <w:r w:rsidR="00FF6F50" w:rsidRPr="00525E12">
        <w:rPr>
          <w:rFonts w:ascii="Arial Bold" w:hAnsi="Arial Bold" w:cs="Arial"/>
          <w:szCs w:val="22"/>
        </w:rPr>
        <w:t xml:space="preserve">Siskiyou </w:t>
      </w:r>
      <w:r w:rsidRPr="00525E12">
        <w:rPr>
          <w:rFonts w:ascii="Arial Bold" w:hAnsi="Arial Bold" w:cs="Arial"/>
          <w:szCs w:val="22"/>
        </w:rPr>
        <w:t>County Board of Supervisors</w:t>
      </w:r>
      <w:r w:rsidR="00BC3058" w:rsidRPr="00525E12">
        <w:rPr>
          <w:rFonts w:ascii="Arial Bold" w:hAnsi="Arial Bold" w:cs="Arial"/>
          <w:szCs w:val="22"/>
        </w:rPr>
        <w:t xml:space="preserve"> </w:t>
      </w:r>
      <w:r w:rsidR="008D7533" w:rsidRPr="00525E12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525E12" w:rsidRDefault="000C10D7" w:rsidP="008D7533">
      <w:pPr>
        <w:pStyle w:val="Subtitle"/>
        <w:rPr>
          <w:rFonts w:ascii="Arial Bold" w:hAnsi="Arial Bold" w:cs="Arial"/>
          <w:szCs w:val="22"/>
        </w:rPr>
      </w:pPr>
      <w:r w:rsidRPr="00525E12">
        <w:rPr>
          <w:rFonts w:ascii="Arial Bold" w:hAnsi="Arial Bold" w:cs="Arial"/>
          <w:szCs w:val="22"/>
        </w:rPr>
        <w:t>the</w:t>
      </w:r>
      <w:r w:rsidR="000B5EE2" w:rsidRPr="00525E12">
        <w:rPr>
          <w:rFonts w:ascii="Arial Bold" w:hAnsi="Arial Bold" w:cs="Arial"/>
          <w:szCs w:val="22"/>
        </w:rPr>
        <w:t xml:space="preserve"> Rescission</w:t>
      </w:r>
      <w:r w:rsidR="001D07B0" w:rsidRPr="00525E12">
        <w:rPr>
          <w:rFonts w:ascii="Arial Bold" w:hAnsi="Arial Bold" w:cs="Arial"/>
          <w:szCs w:val="22"/>
        </w:rPr>
        <w:t xml:space="preserve"> and Re-</w:t>
      </w:r>
      <w:r w:rsidR="00093562" w:rsidRPr="00525E12">
        <w:rPr>
          <w:rFonts w:ascii="Arial Bold" w:hAnsi="Arial Bold" w:cs="Arial"/>
          <w:szCs w:val="22"/>
        </w:rPr>
        <w:t>E</w:t>
      </w:r>
      <w:r w:rsidR="001D07B0" w:rsidRPr="00525E12">
        <w:rPr>
          <w:rFonts w:ascii="Arial Bold" w:hAnsi="Arial Bold" w:cs="Arial"/>
          <w:szCs w:val="22"/>
        </w:rPr>
        <w:t xml:space="preserve">ntry of </w:t>
      </w:r>
      <w:r w:rsidR="00A5147E" w:rsidRPr="00525E12">
        <w:rPr>
          <w:rFonts w:ascii="Arial Bold" w:hAnsi="Arial Bold" w:cs="Arial"/>
          <w:szCs w:val="22"/>
        </w:rPr>
        <w:t xml:space="preserve">Existing </w:t>
      </w:r>
      <w:r w:rsidR="001D07B0" w:rsidRPr="00525E12">
        <w:rPr>
          <w:rFonts w:ascii="Arial Bold" w:hAnsi="Arial Bold" w:cs="Arial"/>
          <w:szCs w:val="22"/>
        </w:rPr>
        <w:t>Williamson Act Contracts</w:t>
      </w:r>
      <w:r w:rsidR="000B5EE2" w:rsidRPr="00525E12">
        <w:rPr>
          <w:rFonts w:ascii="Arial Bold" w:hAnsi="Arial Bold" w:cs="Arial"/>
          <w:szCs w:val="22"/>
        </w:rPr>
        <w:t xml:space="preserve"> </w:t>
      </w:r>
    </w:p>
    <w:p w14:paraId="49E7D1D0" w14:textId="0C3087D5" w:rsidR="00C46C25" w:rsidRPr="00525E12" w:rsidRDefault="00A5147E" w:rsidP="008D7533">
      <w:pPr>
        <w:pStyle w:val="Subtitle"/>
        <w:rPr>
          <w:rFonts w:ascii="Arial Bold" w:hAnsi="Arial Bold" w:cs="Arial"/>
          <w:szCs w:val="22"/>
        </w:rPr>
      </w:pPr>
      <w:r w:rsidRPr="00525E12">
        <w:rPr>
          <w:rFonts w:ascii="Arial Bold" w:hAnsi="Arial Bold" w:cs="Arial"/>
          <w:szCs w:val="22"/>
        </w:rPr>
        <w:t>Under Application APA</w:t>
      </w:r>
      <w:r w:rsidR="001B1D98" w:rsidRPr="00525E12">
        <w:rPr>
          <w:rFonts w:ascii="Arial Bold" w:hAnsi="Arial Bold" w:cs="Arial"/>
          <w:szCs w:val="22"/>
        </w:rPr>
        <w:t>-</w:t>
      </w:r>
      <w:r w:rsidR="00696EFF" w:rsidRPr="00525E12">
        <w:rPr>
          <w:rFonts w:ascii="Arial Bold" w:hAnsi="Arial Bold" w:cs="Arial"/>
          <w:szCs w:val="22"/>
        </w:rPr>
        <w:t>22-</w:t>
      </w:r>
      <w:r w:rsidR="00525E12" w:rsidRPr="00525E12">
        <w:rPr>
          <w:rFonts w:ascii="Arial Bold" w:hAnsi="Arial Bold" w:cs="Arial"/>
          <w:szCs w:val="22"/>
        </w:rPr>
        <w:t>1</w:t>
      </w:r>
      <w:r w:rsidR="00C9647B">
        <w:rPr>
          <w:rFonts w:ascii="Arial Bold" w:hAnsi="Arial Bold" w:cs="Arial"/>
          <w:szCs w:val="22"/>
        </w:rPr>
        <w:t>5</w:t>
      </w:r>
      <w:r w:rsidR="000654DB">
        <w:rPr>
          <w:rFonts w:ascii="Arial Bold" w:hAnsi="Arial Bold" w:cs="Arial"/>
          <w:szCs w:val="22"/>
        </w:rPr>
        <w:t xml:space="preserve"> and Finding the Project Exempt from CEQA</w:t>
      </w:r>
    </w:p>
    <w:p w14:paraId="5D68E97C" w14:textId="77777777" w:rsidR="00C46C25" w:rsidRPr="00525E12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525E12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</w:t>
      </w:r>
      <w:r w:rsidR="008D7533" w:rsidRPr="00525E12">
        <w:rPr>
          <w:rFonts w:cs="Arial"/>
          <w:bCs/>
          <w:szCs w:val="22"/>
        </w:rPr>
        <w:t xml:space="preserve">the </w:t>
      </w:r>
      <w:r w:rsidR="0006658E" w:rsidRPr="00525E12">
        <w:rPr>
          <w:rFonts w:cs="Arial"/>
          <w:szCs w:val="22"/>
        </w:rPr>
        <w:t>California Land Conservation Act (the “</w:t>
      </w:r>
      <w:r w:rsidR="000F4080" w:rsidRPr="00525E12">
        <w:rPr>
          <w:rFonts w:cs="Arial"/>
          <w:szCs w:val="22"/>
        </w:rPr>
        <w:t>Williamson Act</w:t>
      </w:r>
      <w:r w:rsidR="0006658E" w:rsidRPr="00525E12">
        <w:rPr>
          <w:rFonts w:cs="Arial"/>
          <w:szCs w:val="22"/>
        </w:rPr>
        <w:t>”)</w:t>
      </w:r>
      <w:r w:rsidR="000F4080" w:rsidRPr="00525E12">
        <w:rPr>
          <w:rFonts w:cs="Arial"/>
          <w:szCs w:val="22"/>
        </w:rPr>
        <w:t xml:space="preserve"> </w:t>
      </w:r>
      <w:r w:rsidR="0006658E" w:rsidRPr="00525E12">
        <w:rPr>
          <w:rFonts w:cs="Arial"/>
          <w:szCs w:val="22"/>
        </w:rPr>
        <w:t>was enacted on July 14, 1965</w:t>
      </w:r>
      <w:r w:rsidR="000B5EE2" w:rsidRPr="00525E12">
        <w:rPr>
          <w:rFonts w:cs="Arial"/>
          <w:szCs w:val="22"/>
        </w:rPr>
        <w:t>,</w:t>
      </w:r>
      <w:r w:rsidR="0006658E" w:rsidRPr="00525E12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525E12">
        <w:rPr>
          <w:rFonts w:cs="Arial"/>
          <w:szCs w:val="22"/>
        </w:rPr>
        <w:t>and</w:t>
      </w:r>
    </w:p>
    <w:p w14:paraId="3D06277C" w14:textId="71FD48CA" w:rsidR="00A5147E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="001E31ED" w:rsidRPr="00525E12">
        <w:rPr>
          <w:rFonts w:cs="Arial"/>
          <w:szCs w:val="22"/>
        </w:rPr>
        <w:t xml:space="preserve"> </w:t>
      </w:r>
      <w:r w:rsidR="00C9647B">
        <w:rPr>
          <w:rFonts w:cs="Arial"/>
          <w:szCs w:val="22"/>
        </w:rPr>
        <w:t>Shasta Valley Holdings, LLC</w:t>
      </w:r>
      <w:r w:rsidR="00696EFF" w:rsidRPr="00525E12">
        <w:rPr>
          <w:rFonts w:cs="Arial"/>
          <w:szCs w:val="22"/>
        </w:rPr>
        <w:t>,</w:t>
      </w:r>
      <w:r w:rsidR="00A5147E" w:rsidRPr="00525E12">
        <w:rPr>
          <w:rFonts w:cs="Arial"/>
          <w:szCs w:val="22"/>
        </w:rPr>
        <w:t xml:space="preserve"> own</w:t>
      </w:r>
      <w:r w:rsidR="00C9647B">
        <w:rPr>
          <w:rFonts w:cs="Arial"/>
          <w:szCs w:val="22"/>
        </w:rPr>
        <w:t>s</w:t>
      </w:r>
      <w:r w:rsidR="00A5147E" w:rsidRPr="00525E12">
        <w:rPr>
          <w:rFonts w:cs="Arial"/>
          <w:szCs w:val="22"/>
        </w:rPr>
        <w:t xml:space="preserve"> </w:t>
      </w:r>
      <w:r w:rsidR="00C9647B">
        <w:rPr>
          <w:rFonts w:cs="Arial"/>
          <w:szCs w:val="22"/>
        </w:rPr>
        <w:t>640</w:t>
      </w:r>
      <w:r w:rsidR="00845B16" w:rsidRPr="00525E12">
        <w:rPr>
          <w:rFonts w:cs="Arial"/>
          <w:szCs w:val="22"/>
        </w:rPr>
        <w:t xml:space="preserve"> acres</w:t>
      </w:r>
      <w:r w:rsidR="00A5147E" w:rsidRPr="00525E12">
        <w:rPr>
          <w:rFonts w:cs="Arial"/>
          <w:szCs w:val="22"/>
        </w:rPr>
        <w:t xml:space="preserve"> that was </w:t>
      </w:r>
      <w:r w:rsidR="001D07B0" w:rsidRPr="00525E12">
        <w:rPr>
          <w:rFonts w:cs="Arial"/>
          <w:szCs w:val="22"/>
        </w:rPr>
        <w:t xml:space="preserve">originally </w:t>
      </w:r>
      <w:r w:rsidR="00A5147E" w:rsidRPr="00525E12">
        <w:rPr>
          <w:rFonts w:cs="Arial"/>
          <w:szCs w:val="22"/>
        </w:rPr>
        <w:t xml:space="preserve">placed </w:t>
      </w:r>
      <w:r w:rsidR="00B01627" w:rsidRPr="00525E12">
        <w:rPr>
          <w:rFonts w:cs="Arial"/>
          <w:szCs w:val="22"/>
        </w:rPr>
        <w:t>in Williamson</w:t>
      </w:r>
      <w:r w:rsidR="001D07B0" w:rsidRPr="00525E12">
        <w:rPr>
          <w:rFonts w:cs="Arial"/>
          <w:szCs w:val="22"/>
        </w:rPr>
        <w:t xml:space="preserve"> Act </w:t>
      </w:r>
      <w:r w:rsidR="000B5EE2" w:rsidRPr="00525E12">
        <w:rPr>
          <w:rFonts w:cs="Arial"/>
          <w:szCs w:val="22"/>
        </w:rPr>
        <w:t>c</w:t>
      </w:r>
      <w:r w:rsidR="001D07B0" w:rsidRPr="00525E12">
        <w:rPr>
          <w:rFonts w:cs="Arial"/>
          <w:szCs w:val="22"/>
        </w:rPr>
        <w:t>ontract</w:t>
      </w:r>
      <w:r w:rsidR="001D07B0" w:rsidRPr="00525E12">
        <w:rPr>
          <w:rFonts w:cs="Arial"/>
          <w:color w:val="000000"/>
          <w:szCs w:val="22"/>
          <w:lang w:val="en"/>
        </w:rPr>
        <w:t xml:space="preserve"> on </w:t>
      </w:r>
      <w:r w:rsidR="00C9647B">
        <w:rPr>
          <w:rFonts w:cs="Arial"/>
          <w:color w:val="000000"/>
          <w:szCs w:val="22"/>
          <w:lang w:val="en"/>
        </w:rPr>
        <w:t>February 26, 1973</w:t>
      </w:r>
      <w:r w:rsidR="004D584F" w:rsidRPr="00525E12">
        <w:rPr>
          <w:rFonts w:cs="Arial"/>
          <w:szCs w:val="22"/>
        </w:rPr>
        <w:t>; and</w:t>
      </w:r>
    </w:p>
    <w:p w14:paraId="1CDE742E" w14:textId="4A2D20DA" w:rsidR="00C9647B" w:rsidRPr="00525E12" w:rsidRDefault="00C9647B" w:rsidP="00C9647B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Shasta Valley Holdings, LLC</w:t>
      </w:r>
      <w:r w:rsidRPr="00525E12">
        <w:rPr>
          <w:rFonts w:cs="Arial"/>
          <w:szCs w:val="22"/>
        </w:rPr>
        <w:t>, own</w:t>
      </w:r>
      <w:r>
        <w:rPr>
          <w:rFonts w:cs="Arial"/>
          <w:szCs w:val="22"/>
        </w:rPr>
        <w:t>s</w:t>
      </w:r>
      <w:r w:rsidRPr="00525E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320</w:t>
      </w:r>
      <w:r w:rsidRPr="00525E12">
        <w:rPr>
          <w:rFonts w:cs="Arial"/>
          <w:szCs w:val="22"/>
        </w:rPr>
        <w:t xml:space="preserve"> acres that was originally placed in Williamson Act contract</w:t>
      </w:r>
      <w:r w:rsidRPr="00525E12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February 20, 1974</w:t>
      </w:r>
      <w:r w:rsidRPr="00525E12">
        <w:rPr>
          <w:rFonts w:cs="Arial"/>
          <w:szCs w:val="22"/>
        </w:rPr>
        <w:t>; and</w:t>
      </w:r>
    </w:p>
    <w:p w14:paraId="2FA709A2" w14:textId="4B9CC0B6" w:rsidR="00D51EE5" w:rsidRPr="00525E12" w:rsidRDefault="00F42821" w:rsidP="00D51EE5">
      <w:pPr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pursuant to the </w:t>
      </w:r>
      <w:r w:rsidRPr="00525E12">
        <w:rPr>
          <w:rFonts w:cs="Arial"/>
          <w:i/>
          <w:szCs w:val="22"/>
        </w:rPr>
        <w:t>Rules for the Establishment and Administration of Agricultural</w:t>
      </w:r>
      <w:r w:rsidRPr="00525E12">
        <w:rPr>
          <w:rFonts w:cs="Arial"/>
          <w:szCs w:val="22"/>
        </w:rPr>
        <w:t xml:space="preserve"> </w:t>
      </w:r>
      <w:r w:rsidRPr="00525E12">
        <w:rPr>
          <w:rFonts w:cs="Arial"/>
          <w:i/>
          <w:szCs w:val="22"/>
        </w:rPr>
        <w:t>Preserves and Williamson Act Contracts</w:t>
      </w:r>
      <w:r w:rsidRPr="00525E12">
        <w:rPr>
          <w:rFonts w:cs="Arial"/>
          <w:szCs w:val="22"/>
        </w:rPr>
        <w:t xml:space="preserve">, as adopted by the Siskiyou County Board of Supervisors on February 7, </w:t>
      </w:r>
      <w:r w:rsidR="00B32462" w:rsidRPr="00525E12">
        <w:rPr>
          <w:rFonts w:cs="Arial"/>
          <w:szCs w:val="22"/>
        </w:rPr>
        <w:t>2012,</w:t>
      </w:r>
      <w:r w:rsidR="00DA1299" w:rsidRPr="00525E12">
        <w:rPr>
          <w:rFonts w:cs="Arial"/>
          <w:szCs w:val="22"/>
        </w:rPr>
        <w:t xml:space="preserve"> and amended on </w:t>
      </w:r>
      <w:r w:rsidR="00525E12" w:rsidRPr="00525E12">
        <w:rPr>
          <w:rFonts w:cs="Arial"/>
          <w:szCs w:val="22"/>
        </w:rPr>
        <w:t>December 13, 2022</w:t>
      </w:r>
      <w:r w:rsidRPr="00525E12">
        <w:rPr>
          <w:rFonts w:cs="Arial"/>
          <w:szCs w:val="22"/>
        </w:rPr>
        <w:t xml:space="preserve">, </w:t>
      </w:r>
      <w:r w:rsidR="00696EFF" w:rsidRPr="00525E12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525E12">
        <w:rPr>
          <w:rFonts w:cs="Arial"/>
          <w:szCs w:val="22"/>
        </w:rPr>
        <w:t>, the owner shall apply for a separate contract</w:t>
      </w:r>
      <w:r w:rsidRPr="00525E12">
        <w:rPr>
          <w:rFonts w:cs="Arial"/>
          <w:szCs w:val="22"/>
        </w:rPr>
        <w:t>; and</w:t>
      </w:r>
    </w:p>
    <w:p w14:paraId="20101C5B" w14:textId="3AC8202F" w:rsidR="00F42821" w:rsidRPr="00525E12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an Agricultural Preserve Contract Amendment application (APA-22-</w:t>
      </w:r>
      <w:r w:rsidR="00525E12" w:rsidRPr="00525E12">
        <w:rPr>
          <w:rFonts w:cs="Arial"/>
          <w:szCs w:val="22"/>
        </w:rPr>
        <w:t>1</w:t>
      </w:r>
      <w:r w:rsidR="00C9647B">
        <w:rPr>
          <w:rFonts w:cs="Arial"/>
          <w:szCs w:val="22"/>
        </w:rPr>
        <w:t>5</w:t>
      </w:r>
      <w:r w:rsidRPr="00525E12">
        <w:rPr>
          <w:rFonts w:cs="Arial"/>
          <w:szCs w:val="22"/>
        </w:rPr>
        <w:t xml:space="preserve">) was submitted to the County on </w:t>
      </w:r>
      <w:r w:rsidR="00525E12" w:rsidRPr="00525E12">
        <w:rPr>
          <w:rFonts w:cs="Arial"/>
          <w:szCs w:val="22"/>
        </w:rPr>
        <w:t xml:space="preserve">August </w:t>
      </w:r>
      <w:r w:rsidR="00C9647B">
        <w:rPr>
          <w:rFonts w:cs="Arial"/>
          <w:szCs w:val="22"/>
        </w:rPr>
        <w:t>23</w:t>
      </w:r>
      <w:r w:rsidRPr="00525E12">
        <w:rPr>
          <w:rFonts w:cs="Arial"/>
          <w:szCs w:val="22"/>
        </w:rPr>
        <w:t xml:space="preserve">, 2022, that proposes to rescind approximately </w:t>
      </w:r>
      <w:r w:rsidR="00C9647B">
        <w:rPr>
          <w:rFonts w:cs="Arial"/>
          <w:szCs w:val="22"/>
        </w:rPr>
        <w:t>960</w:t>
      </w:r>
      <w:r w:rsidRPr="00525E12">
        <w:rPr>
          <w:rFonts w:cs="Arial"/>
          <w:szCs w:val="22"/>
        </w:rPr>
        <w:t xml:space="preserve"> acres from an existing Williamson Act Contract</w:t>
      </w:r>
      <w:r w:rsidR="00352F64" w:rsidRPr="00525E12">
        <w:rPr>
          <w:rFonts w:cs="Arial"/>
          <w:szCs w:val="22"/>
        </w:rPr>
        <w:t>s</w:t>
      </w:r>
      <w:r w:rsidRPr="00525E12">
        <w:rPr>
          <w:rFonts w:cs="Arial"/>
          <w:szCs w:val="22"/>
        </w:rPr>
        <w:t xml:space="preserve">; and </w:t>
      </w:r>
    </w:p>
    <w:p w14:paraId="467A06BF" w14:textId="2D6186E7" w:rsidR="001C4876" w:rsidRPr="00525E12" w:rsidRDefault="001C4876" w:rsidP="001C4876">
      <w:pPr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the Staff Report for APA-22-</w:t>
      </w:r>
      <w:r w:rsidR="00525E12" w:rsidRPr="00525E12">
        <w:rPr>
          <w:rFonts w:cs="Arial"/>
          <w:szCs w:val="22"/>
        </w:rPr>
        <w:t>1</w:t>
      </w:r>
      <w:r w:rsidR="00C9647B">
        <w:rPr>
          <w:rFonts w:cs="Arial"/>
          <w:szCs w:val="22"/>
        </w:rPr>
        <w:t>5</w:t>
      </w:r>
      <w:r w:rsidRPr="00525E12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525E12">
        <w:rPr>
          <w:rFonts w:cs="Arial"/>
          <w:i/>
          <w:szCs w:val="22"/>
        </w:rPr>
        <w:t>Rules for the</w:t>
      </w:r>
      <w:r w:rsidRPr="00525E12">
        <w:rPr>
          <w:rFonts w:cs="Arial"/>
          <w:szCs w:val="22"/>
        </w:rPr>
        <w:t xml:space="preserve"> </w:t>
      </w:r>
      <w:r w:rsidRPr="00525E12">
        <w:rPr>
          <w:rFonts w:cs="Arial"/>
          <w:i/>
          <w:szCs w:val="22"/>
        </w:rPr>
        <w:t>Establishment and Administration of Agricultural Preserves and</w:t>
      </w:r>
      <w:r w:rsidRPr="00525E12">
        <w:rPr>
          <w:rFonts w:cs="Arial"/>
          <w:szCs w:val="22"/>
        </w:rPr>
        <w:t xml:space="preserve"> </w:t>
      </w:r>
      <w:r w:rsidRPr="00525E12">
        <w:rPr>
          <w:rFonts w:cs="Arial"/>
          <w:i/>
          <w:szCs w:val="22"/>
        </w:rPr>
        <w:t>Williamson Act Contracts</w:t>
      </w:r>
      <w:r w:rsidRPr="00525E12">
        <w:rPr>
          <w:rFonts w:cs="Arial"/>
          <w:szCs w:val="22"/>
        </w:rPr>
        <w:t xml:space="preserve">, as adopted by the Siskiyou County Board of Supervisors on February 7, 2012 and amended on </w:t>
      </w:r>
      <w:r w:rsidR="00525E12" w:rsidRPr="00525E12">
        <w:rPr>
          <w:rFonts w:cs="Arial"/>
          <w:szCs w:val="22"/>
        </w:rPr>
        <w:t>December 13, 2022</w:t>
      </w:r>
      <w:r w:rsidRPr="00525E12">
        <w:rPr>
          <w:rFonts w:cs="Arial"/>
          <w:szCs w:val="22"/>
        </w:rPr>
        <w:t>; and</w:t>
      </w:r>
    </w:p>
    <w:p w14:paraId="251C847C" w14:textId="21E5DCE9" w:rsidR="00F42821" w:rsidRPr="00525E12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the Staff Report</w:t>
      </w:r>
      <w:r w:rsidR="00F452DD" w:rsidRPr="00525E12">
        <w:rPr>
          <w:rFonts w:cs="Arial"/>
          <w:szCs w:val="22"/>
        </w:rPr>
        <w:t xml:space="preserve"> for APA-</w:t>
      </w:r>
      <w:r w:rsidR="001C4876" w:rsidRPr="00525E12">
        <w:rPr>
          <w:rFonts w:cs="Arial"/>
          <w:szCs w:val="22"/>
        </w:rPr>
        <w:t>22-</w:t>
      </w:r>
      <w:r w:rsidR="00525E12" w:rsidRPr="00525E12">
        <w:rPr>
          <w:rFonts w:cs="Arial"/>
          <w:szCs w:val="22"/>
        </w:rPr>
        <w:t>1</w:t>
      </w:r>
      <w:r w:rsidR="00C9647B">
        <w:rPr>
          <w:rFonts w:cs="Arial"/>
          <w:szCs w:val="22"/>
        </w:rPr>
        <w:t>5</w:t>
      </w:r>
      <w:r w:rsidRPr="00525E12">
        <w:rPr>
          <w:rFonts w:cs="Arial"/>
          <w:szCs w:val="22"/>
        </w:rPr>
        <w:t xml:space="preserve"> prepared for </w:t>
      </w:r>
      <w:r w:rsidR="00F452DD" w:rsidRPr="00525E12">
        <w:rPr>
          <w:rFonts w:cs="Arial"/>
          <w:szCs w:val="22"/>
        </w:rPr>
        <w:t>the Board of Supervisors</w:t>
      </w:r>
      <w:r w:rsidR="007A4AD3" w:rsidRPr="00525E12">
        <w:rPr>
          <w:rFonts w:cs="Arial"/>
          <w:szCs w:val="22"/>
        </w:rPr>
        <w:t xml:space="preserve"> </w:t>
      </w:r>
      <w:r w:rsidRPr="00525E12">
        <w:rPr>
          <w:rFonts w:cs="Arial"/>
          <w:szCs w:val="22"/>
        </w:rPr>
        <w:t xml:space="preserve">contains </w:t>
      </w:r>
      <w:r w:rsidR="001C4876" w:rsidRPr="00525E12">
        <w:rPr>
          <w:rFonts w:cs="Arial"/>
          <w:szCs w:val="22"/>
        </w:rPr>
        <w:t>the staff</w:t>
      </w:r>
      <w:r w:rsidRPr="00525E12">
        <w:rPr>
          <w:rFonts w:cs="Arial"/>
          <w:szCs w:val="22"/>
        </w:rPr>
        <w:t xml:space="preserve"> analysis </w:t>
      </w:r>
      <w:r w:rsidR="001C4876" w:rsidRPr="00525E12">
        <w:rPr>
          <w:rFonts w:cs="Arial"/>
          <w:szCs w:val="22"/>
        </w:rPr>
        <w:t>and recommendation by the Agricultural Preserve Administrator</w:t>
      </w:r>
      <w:r w:rsidR="007E136C" w:rsidRPr="00525E12">
        <w:rPr>
          <w:rFonts w:cs="Arial"/>
          <w:szCs w:val="22"/>
        </w:rPr>
        <w:t>; and</w:t>
      </w:r>
    </w:p>
    <w:p w14:paraId="0EBDA2D2" w14:textId="3D203FB9" w:rsidR="00D51EE5" w:rsidRPr="00525E12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525E12">
        <w:rPr>
          <w:rFonts w:cs="Arial"/>
          <w:b/>
          <w:bCs/>
          <w:szCs w:val="22"/>
        </w:rPr>
        <w:t>WHEREAS</w:t>
      </w:r>
      <w:r w:rsidRPr="00525E12">
        <w:rPr>
          <w:rFonts w:eastAsia="Calibri" w:cs="Arial"/>
          <w:b/>
          <w:szCs w:val="22"/>
        </w:rPr>
        <w:t>,</w:t>
      </w:r>
      <w:r w:rsidRPr="00525E12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FE5252" w:rsidRPr="00FE5252">
        <w:rPr>
          <w:rFonts w:eastAsia="Calibri" w:cs="Arial"/>
          <w:bCs/>
          <w:szCs w:val="22"/>
        </w:rPr>
        <w:t>January 25, 2023</w:t>
      </w:r>
      <w:r w:rsidR="007D6BB1" w:rsidRPr="00FE5252">
        <w:rPr>
          <w:rFonts w:eastAsia="Calibri" w:cs="Arial"/>
          <w:bCs/>
          <w:szCs w:val="22"/>
        </w:rPr>
        <w:t>,</w:t>
      </w:r>
      <w:r w:rsidRPr="001E12B0">
        <w:rPr>
          <w:rFonts w:eastAsia="Calibri" w:cs="Arial"/>
          <w:bCs/>
          <w:szCs w:val="22"/>
        </w:rPr>
        <w:t xml:space="preserve"> for</w:t>
      </w:r>
      <w:r w:rsidRPr="00525E12">
        <w:rPr>
          <w:rFonts w:eastAsia="Calibri" w:cs="Arial"/>
          <w:bCs/>
          <w:szCs w:val="22"/>
        </w:rPr>
        <w:t xml:space="preserve"> this matter to be heard at the </w:t>
      </w:r>
      <w:r w:rsidR="00C9647B">
        <w:rPr>
          <w:rFonts w:eastAsia="Calibri" w:cs="Arial"/>
          <w:bCs/>
          <w:szCs w:val="22"/>
        </w:rPr>
        <w:t>February 7</w:t>
      </w:r>
      <w:r w:rsidR="00525E12" w:rsidRPr="00525E12">
        <w:rPr>
          <w:rFonts w:eastAsia="Calibri" w:cs="Arial"/>
          <w:bCs/>
          <w:szCs w:val="22"/>
        </w:rPr>
        <w:t>, 2023</w:t>
      </w:r>
      <w:r w:rsidR="00352F64" w:rsidRPr="00525E12">
        <w:rPr>
          <w:rFonts w:eastAsia="Calibri" w:cs="Arial"/>
          <w:bCs/>
          <w:szCs w:val="22"/>
        </w:rPr>
        <w:t>,</w:t>
      </w:r>
      <w:r w:rsidRPr="00525E12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525E12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1E12B0">
        <w:rPr>
          <w:rFonts w:cs="Arial"/>
          <w:b/>
          <w:bCs/>
          <w:szCs w:val="22"/>
        </w:rPr>
        <w:t>W</w:t>
      </w:r>
      <w:r w:rsidR="000F523A" w:rsidRPr="001E12B0">
        <w:rPr>
          <w:rFonts w:cs="Arial"/>
          <w:b/>
          <w:bCs/>
          <w:szCs w:val="22"/>
        </w:rPr>
        <w:t>HEREAS</w:t>
      </w:r>
      <w:r w:rsidRPr="001E12B0">
        <w:rPr>
          <w:rFonts w:cs="Arial"/>
          <w:b/>
          <w:bCs/>
          <w:szCs w:val="22"/>
        </w:rPr>
        <w:t>,</w:t>
      </w:r>
      <w:r w:rsidRPr="00525E12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48328045" w:rsidR="00947CE9" w:rsidRPr="00525E12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r w:rsidRPr="00525E12">
        <w:rPr>
          <w:rFonts w:eastAsia="Calibri" w:cs="Arial"/>
          <w:b/>
          <w:bCs/>
          <w:szCs w:val="22"/>
        </w:rPr>
        <w:t>WHEREAS</w:t>
      </w:r>
      <w:r w:rsidR="00D51EE5" w:rsidRPr="00525E12">
        <w:rPr>
          <w:rFonts w:eastAsia="Calibri" w:cs="Arial"/>
          <w:b/>
          <w:bCs/>
          <w:szCs w:val="22"/>
        </w:rPr>
        <w:t>,</w:t>
      </w:r>
      <w:r w:rsidR="00D51EE5" w:rsidRPr="00525E12">
        <w:rPr>
          <w:rFonts w:eastAsia="Calibri" w:cs="Arial"/>
          <w:szCs w:val="22"/>
        </w:rPr>
        <w:t xml:space="preserve"> </w:t>
      </w:r>
      <w:bookmarkStart w:id="0" w:name="_Hlk48200176"/>
      <w:r w:rsidR="00D51EE5" w:rsidRPr="00525E12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525E12">
        <w:rPr>
          <w:rFonts w:eastAsia="Calibri" w:cs="Arial"/>
          <w:szCs w:val="22"/>
        </w:rPr>
        <w:t>APA-22-</w:t>
      </w:r>
      <w:r w:rsidR="00525E12" w:rsidRPr="00525E12">
        <w:rPr>
          <w:rFonts w:eastAsia="Calibri" w:cs="Arial"/>
          <w:szCs w:val="22"/>
        </w:rPr>
        <w:t>1</w:t>
      </w:r>
      <w:r w:rsidR="00C9647B">
        <w:rPr>
          <w:rFonts w:eastAsia="Calibri" w:cs="Arial"/>
          <w:szCs w:val="22"/>
        </w:rPr>
        <w:t>5</w:t>
      </w:r>
      <w:r w:rsidR="00D51EE5" w:rsidRPr="00525E12">
        <w:rPr>
          <w:rFonts w:eastAsia="Calibri" w:cs="Arial"/>
          <w:szCs w:val="22"/>
        </w:rPr>
        <w:t xml:space="preserve">) at a regular meeting of the Board of Supervisors on </w:t>
      </w:r>
      <w:r w:rsidR="00C9647B">
        <w:rPr>
          <w:rFonts w:eastAsia="Calibri" w:cs="Arial"/>
          <w:szCs w:val="22"/>
        </w:rPr>
        <w:t>February 7</w:t>
      </w:r>
      <w:r w:rsidR="00525E12" w:rsidRPr="00525E12">
        <w:rPr>
          <w:rFonts w:eastAsia="Calibri" w:cs="Arial"/>
          <w:szCs w:val="22"/>
        </w:rPr>
        <w:t>, 2023</w:t>
      </w:r>
      <w:r w:rsidR="00D51EE5" w:rsidRPr="00525E12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525E12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525E12">
        <w:rPr>
          <w:rFonts w:cs="Arial"/>
          <w:i/>
          <w:szCs w:val="22"/>
        </w:rPr>
        <w:t>Open Space Contracts or Easements.</w:t>
      </w:r>
    </w:p>
    <w:p w14:paraId="61316BCE" w14:textId="1B005632" w:rsidR="002A76C3" w:rsidRPr="00525E12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25E12">
        <w:rPr>
          <w:rFonts w:cs="Arial"/>
          <w:b/>
          <w:bCs/>
          <w:iCs/>
          <w:szCs w:val="22"/>
        </w:rPr>
        <w:lastRenderedPageBreak/>
        <w:t>WHEREAS</w:t>
      </w:r>
      <w:r w:rsidR="002A76C3" w:rsidRPr="00525E12">
        <w:rPr>
          <w:rFonts w:cs="Arial"/>
          <w:b/>
          <w:bCs/>
          <w:iCs/>
          <w:szCs w:val="22"/>
        </w:rPr>
        <w:t>,</w:t>
      </w:r>
      <w:r w:rsidR="002A76C3" w:rsidRPr="00525E12">
        <w:rPr>
          <w:rFonts w:cs="Arial"/>
          <w:iCs/>
          <w:szCs w:val="22"/>
        </w:rPr>
        <w:t xml:space="preserve"> on </w:t>
      </w:r>
      <w:r w:rsidR="00C9647B">
        <w:rPr>
          <w:rFonts w:cs="Arial"/>
          <w:iCs/>
          <w:szCs w:val="22"/>
        </w:rPr>
        <w:t>February 7</w:t>
      </w:r>
      <w:r w:rsidR="00525E12" w:rsidRPr="00525E12">
        <w:rPr>
          <w:rFonts w:cs="Arial"/>
          <w:iCs/>
          <w:szCs w:val="22"/>
        </w:rPr>
        <w:t>, 2023</w:t>
      </w:r>
      <w:r w:rsidR="007D6BB1" w:rsidRPr="00525E12">
        <w:rPr>
          <w:rFonts w:cs="Arial"/>
          <w:iCs/>
          <w:szCs w:val="22"/>
        </w:rPr>
        <w:t>,</w:t>
      </w:r>
      <w:r w:rsidR="002A76C3" w:rsidRPr="00525E12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C9647B">
        <w:rPr>
          <w:rFonts w:cs="Arial"/>
          <w:iCs/>
          <w:szCs w:val="22"/>
        </w:rPr>
        <w:t>s</w:t>
      </w:r>
      <w:r w:rsidR="00845B16" w:rsidRPr="00525E12">
        <w:rPr>
          <w:rFonts w:cs="Arial"/>
          <w:iCs/>
          <w:szCs w:val="22"/>
        </w:rPr>
        <w:t xml:space="preserve">: </w:t>
      </w:r>
      <w:r w:rsidR="00C9647B">
        <w:rPr>
          <w:sz w:val="24"/>
        </w:rPr>
        <w:t>039-010-060, 039-010-080 and 039-010-090</w:t>
      </w:r>
      <w:r w:rsidR="002A76C3" w:rsidRPr="00525E12">
        <w:rPr>
          <w:rFonts w:cs="Arial"/>
          <w:iCs/>
          <w:szCs w:val="22"/>
        </w:rPr>
        <w:t>; and</w:t>
      </w:r>
    </w:p>
    <w:p w14:paraId="24A49C5E" w14:textId="47400A11" w:rsidR="00947CE9" w:rsidRPr="00525E12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25E12">
        <w:rPr>
          <w:rFonts w:cs="Arial"/>
          <w:b/>
          <w:bCs/>
          <w:iCs/>
          <w:szCs w:val="22"/>
        </w:rPr>
        <w:t>WHEREAS</w:t>
      </w:r>
      <w:r w:rsidR="002A76C3" w:rsidRPr="00525E12">
        <w:rPr>
          <w:rFonts w:cs="Arial"/>
          <w:b/>
          <w:bCs/>
          <w:iCs/>
          <w:szCs w:val="22"/>
        </w:rPr>
        <w:t xml:space="preserve">, </w:t>
      </w:r>
      <w:r w:rsidR="002A76C3" w:rsidRPr="00525E12">
        <w:rPr>
          <w:rFonts w:cs="Arial"/>
          <w:iCs/>
          <w:szCs w:val="22"/>
        </w:rPr>
        <w:t xml:space="preserve">on </w:t>
      </w:r>
      <w:r w:rsidR="00C9647B">
        <w:rPr>
          <w:rFonts w:cs="Arial"/>
          <w:iCs/>
          <w:szCs w:val="22"/>
        </w:rPr>
        <w:t>February 7</w:t>
      </w:r>
      <w:r w:rsidR="00525E12" w:rsidRPr="00525E12">
        <w:rPr>
          <w:rFonts w:cs="Arial"/>
          <w:iCs/>
          <w:szCs w:val="22"/>
        </w:rPr>
        <w:t>, 2023</w:t>
      </w:r>
      <w:r w:rsidR="002A76C3" w:rsidRPr="00525E12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525E12">
        <w:rPr>
          <w:rFonts w:cs="Arial"/>
          <w:iCs/>
          <w:szCs w:val="22"/>
        </w:rPr>
        <w:t>PA-22-</w:t>
      </w:r>
      <w:r w:rsidR="00525E12" w:rsidRPr="00525E12">
        <w:rPr>
          <w:rFonts w:cs="Arial"/>
          <w:iCs/>
          <w:szCs w:val="22"/>
        </w:rPr>
        <w:t>1</w:t>
      </w:r>
      <w:r w:rsidR="00C9647B">
        <w:rPr>
          <w:rFonts w:cs="Arial"/>
          <w:iCs/>
          <w:szCs w:val="22"/>
        </w:rPr>
        <w:t>5</w:t>
      </w:r>
      <w:r w:rsidR="002A76C3" w:rsidRPr="00525E12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525E12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NOW, THEREFORE, BE IT RESOLVED</w:t>
      </w:r>
      <w:r w:rsidRPr="00525E12">
        <w:rPr>
          <w:rFonts w:cs="Arial"/>
          <w:szCs w:val="22"/>
        </w:rPr>
        <w:t xml:space="preserve"> that </w:t>
      </w:r>
      <w:r w:rsidR="00720CCD" w:rsidRPr="00525E12">
        <w:rPr>
          <w:rFonts w:cs="Arial"/>
          <w:szCs w:val="22"/>
        </w:rPr>
        <w:t xml:space="preserve">the </w:t>
      </w:r>
      <w:r w:rsidRPr="00525E12">
        <w:rPr>
          <w:rFonts w:cs="Arial"/>
          <w:szCs w:val="22"/>
        </w:rPr>
        <w:t xml:space="preserve">Board of Supervisors </w:t>
      </w:r>
      <w:r w:rsidR="00720CCD" w:rsidRPr="00525E12">
        <w:rPr>
          <w:rFonts w:cs="Arial"/>
          <w:szCs w:val="22"/>
        </w:rPr>
        <w:t>finds the above recitals true and correct.</w:t>
      </w:r>
    </w:p>
    <w:p w14:paraId="5F29EB64" w14:textId="59FBF54E" w:rsidR="00BC3058" w:rsidRPr="00525E12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that the Board of Supervisors approves the rescission</w:t>
      </w:r>
      <w:r w:rsidR="00211115" w:rsidRPr="00525E12">
        <w:rPr>
          <w:rFonts w:cs="Arial"/>
          <w:szCs w:val="22"/>
        </w:rPr>
        <w:t xml:space="preserve"> and re-entry of existing Williamson Act </w:t>
      </w:r>
      <w:r w:rsidR="000B5EE2" w:rsidRPr="00525E12">
        <w:rPr>
          <w:rFonts w:cs="Arial"/>
          <w:szCs w:val="22"/>
        </w:rPr>
        <w:t>c</w:t>
      </w:r>
      <w:r w:rsidR="00211115" w:rsidRPr="00525E12">
        <w:rPr>
          <w:rFonts w:cs="Arial"/>
          <w:szCs w:val="22"/>
        </w:rPr>
        <w:t>ontract under application APA</w:t>
      </w:r>
      <w:r w:rsidR="001B1D98" w:rsidRPr="00525E12">
        <w:rPr>
          <w:rFonts w:cs="Arial"/>
          <w:szCs w:val="22"/>
        </w:rPr>
        <w:t>-</w:t>
      </w:r>
      <w:r w:rsidR="00D51EE5" w:rsidRPr="00525E12">
        <w:rPr>
          <w:rFonts w:cs="Arial"/>
          <w:szCs w:val="22"/>
        </w:rPr>
        <w:t>22-</w:t>
      </w:r>
      <w:r w:rsidR="00525E12" w:rsidRPr="00525E12">
        <w:rPr>
          <w:rFonts w:cs="Arial"/>
          <w:szCs w:val="22"/>
        </w:rPr>
        <w:t>1</w:t>
      </w:r>
      <w:r w:rsidR="00C9647B">
        <w:rPr>
          <w:rFonts w:cs="Arial"/>
          <w:szCs w:val="22"/>
        </w:rPr>
        <w:t>5</w:t>
      </w:r>
      <w:r w:rsidR="00B74FF8">
        <w:rPr>
          <w:rFonts w:cs="Arial"/>
          <w:szCs w:val="22"/>
        </w:rPr>
        <w:t xml:space="preserve"> attached hereto as Exhibit A</w:t>
      </w:r>
      <w:r w:rsidR="00845B16" w:rsidRPr="00525E12">
        <w:rPr>
          <w:rFonts w:cs="Arial"/>
          <w:szCs w:val="22"/>
        </w:rPr>
        <w:t>.</w:t>
      </w:r>
    </w:p>
    <w:p w14:paraId="45E453DA" w14:textId="1A2B03D7" w:rsidR="00F42821" w:rsidRPr="00525E12" w:rsidRDefault="00211115" w:rsidP="007E136C">
      <w:pPr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</w:t>
      </w:r>
      <w:r w:rsidR="00F42821" w:rsidRPr="00525E12">
        <w:rPr>
          <w:rFonts w:cs="Arial"/>
          <w:szCs w:val="22"/>
        </w:rPr>
        <w:t xml:space="preserve">that the Board of Supervisors instructs staff </w:t>
      </w:r>
      <w:r w:rsidR="001D07B0" w:rsidRPr="00525E12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525E12">
        <w:rPr>
          <w:rFonts w:cs="Arial"/>
          <w:szCs w:val="22"/>
        </w:rPr>
        <w:t xml:space="preserve">a </w:t>
      </w:r>
      <w:r w:rsidR="001D07B0" w:rsidRPr="00525E12">
        <w:rPr>
          <w:rFonts w:cs="Arial"/>
          <w:szCs w:val="22"/>
        </w:rPr>
        <w:t xml:space="preserve">new Williamson Act </w:t>
      </w:r>
      <w:r w:rsidR="00BC3058" w:rsidRPr="00525E12">
        <w:rPr>
          <w:rFonts w:cs="Arial"/>
          <w:szCs w:val="22"/>
        </w:rPr>
        <w:t>c</w:t>
      </w:r>
      <w:r w:rsidR="001D07B0" w:rsidRPr="00525E12">
        <w:rPr>
          <w:rFonts w:cs="Arial"/>
          <w:szCs w:val="22"/>
        </w:rPr>
        <w:t>ontract.</w:t>
      </w:r>
    </w:p>
    <w:p w14:paraId="1CD5D071" w14:textId="58F5B308" w:rsidR="001D07B0" w:rsidRPr="00525E12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that </w:t>
      </w:r>
      <w:r w:rsidR="002E4177" w:rsidRPr="00525E12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525E12">
        <w:rPr>
          <w:rFonts w:cs="Arial"/>
          <w:szCs w:val="22"/>
        </w:rPr>
        <w:t>Williamson Act</w:t>
      </w:r>
      <w:r w:rsidR="002E4177" w:rsidRPr="00525E12">
        <w:rPr>
          <w:rFonts w:cs="Arial"/>
          <w:szCs w:val="22"/>
        </w:rPr>
        <w:t xml:space="preserve"> contract.</w:t>
      </w:r>
      <w:r w:rsidR="002E4177" w:rsidRPr="00525E12">
        <w:rPr>
          <w:rFonts w:cs="Arial"/>
          <w:szCs w:val="22"/>
        </w:rPr>
        <w:tab/>
      </w:r>
    </w:p>
    <w:p w14:paraId="0B162310" w14:textId="64E22953" w:rsidR="000B5EE2" w:rsidRPr="00525E12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</w:t>
      </w:r>
      <w:r w:rsidR="001D07B0" w:rsidRPr="00525E12">
        <w:rPr>
          <w:rFonts w:cs="Arial"/>
          <w:szCs w:val="22"/>
        </w:rPr>
        <w:t>he Chair of the Board of Supervisors is hereby authorized to sign said contract on be</w:t>
      </w:r>
      <w:r w:rsidR="000B5EE2" w:rsidRPr="00525E12">
        <w:rPr>
          <w:rFonts w:cs="Arial"/>
          <w:szCs w:val="22"/>
        </w:rPr>
        <w:t xml:space="preserve">half of the County of Siskiyou. </w:t>
      </w:r>
    </w:p>
    <w:p w14:paraId="06526789" w14:textId="1A4F110F" w:rsidR="00646321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that </w:t>
      </w:r>
      <w:r w:rsidR="001D07B0" w:rsidRPr="00525E12">
        <w:rPr>
          <w:rFonts w:cs="Arial"/>
          <w:szCs w:val="22"/>
        </w:rPr>
        <w:t xml:space="preserve">County staff is directed to record said </w:t>
      </w:r>
      <w:r w:rsidRPr="00525E12">
        <w:rPr>
          <w:rFonts w:cs="Arial"/>
          <w:szCs w:val="22"/>
        </w:rPr>
        <w:t xml:space="preserve">Williamson Act </w:t>
      </w:r>
      <w:r w:rsidR="001D07B0" w:rsidRPr="00525E12">
        <w:rPr>
          <w:rFonts w:cs="Arial"/>
          <w:szCs w:val="22"/>
        </w:rPr>
        <w:t>contract at the earliest opportunity once completed.</w:t>
      </w:r>
    </w:p>
    <w:p w14:paraId="664E1C07" w14:textId="6DAF378B" w:rsidR="00C9647B" w:rsidRDefault="000654DB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>
        <w:rPr>
          <w:rFonts w:cs="Arial"/>
          <w:b/>
          <w:szCs w:val="22"/>
        </w:rPr>
        <w:t xml:space="preserve">BE IF FURTHER RESOLVED </w:t>
      </w:r>
      <w:r>
        <w:rPr>
          <w:rFonts w:cs="Arial"/>
          <w:szCs w:val="22"/>
        </w:rPr>
        <w:t xml:space="preserve">that the </w:t>
      </w:r>
      <w:r w:rsidRPr="00525E12">
        <w:rPr>
          <w:rFonts w:cs="Arial"/>
          <w:szCs w:val="22"/>
        </w:rPr>
        <w:t xml:space="preserve">project would not result in any significant adverse environmental effect and is exempt from the California Environmental Quality Act (CEQA) pursuant to CEQA Guidelines Section 15317, </w:t>
      </w:r>
      <w:r w:rsidRPr="00525E12">
        <w:rPr>
          <w:rFonts w:cs="Arial"/>
          <w:i/>
          <w:szCs w:val="22"/>
        </w:rPr>
        <w:t>Open Space Contracts or Easements</w:t>
      </w:r>
      <w:r w:rsidR="00C9647B">
        <w:rPr>
          <w:rFonts w:cs="Arial"/>
          <w:i/>
          <w:szCs w:val="22"/>
        </w:rPr>
        <w:t>.</w:t>
      </w:r>
    </w:p>
    <w:p w14:paraId="29BDB400" w14:textId="7C621703" w:rsidR="000654DB" w:rsidRPr="00C9647B" w:rsidRDefault="00C9647B" w:rsidP="00C9647B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225AB861" w14:textId="6DA59BE2" w:rsidR="00707424" w:rsidRPr="00525E12" w:rsidRDefault="00707424" w:rsidP="00C9647B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525E12">
        <w:rPr>
          <w:rFonts w:cs="Arial"/>
          <w:b/>
          <w:color w:val="000000"/>
          <w:szCs w:val="22"/>
        </w:rPr>
        <w:lastRenderedPageBreak/>
        <w:t>IT IS HEREBY CERTIFIED</w:t>
      </w:r>
      <w:r w:rsidRPr="00525E12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525E12" w:rsidRPr="00525E12">
        <w:rPr>
          <w:rFonts w:cs="Arial"/>
          <w:color w:val="000000"/>
          <w:szCs w:val="22"/>
        </w:rPr>
        <w:t>7</w:t>
      </w:r>
      <w:r w:rsidR="00755A67" w:rsidRPr="00525E12">
        <w:rPr>
          <w:rFonts w:cs="Arial"/>
          <w:color w:val="000000"/>
          <w:szCs w:val="22"/>
        </w:rPr>
        <w:t>th</w:t>
      </w:r>
      <w:r w:rsidR="00862466" w:rsidRPr="00525E12">
        <w:rPr>
          <w:rFonts w:cs="Arial"/>
          <w:color w:val="000000"/>
          <w:szCs w:val="22"/>
        </w:rPr>
        <w:t xml:space="preserve"> </w:t>
      </w:r>
      <w:r w:rsidRPr="00525E12">
        <w:rPr>
          <w:rFonts w:cs="Arial"/>
          <w:color w:val="000000"/>
          <w:szCs w:val="22"/>
        </w:rPr>
        <w:t xml:space="preserve">day of </w:t>
      </w:r>
      <w:r w:rsidR="00C9647B">
        <w:rPr>
          <w:rFonts w:cs="Arial"/>
          <w:color w:val="000000"/>
          <w:szCs w:val="22"/>
        </w:rPr>
        <w:t>February</w:t>
      </w:r>
      <w:r w:rsidRPr="00525E12">
        <w:rPr>
          <w:rFonts w:cs="Arial"/>
          <w:color w:val="000000"/>
          <w:szCs w:val="22"/>
        </w:rPr>
        <w:t xml:space="preserve"> 20</w:t>
      </w:r>
      <w:r w:rsidR="001B1D98" w:rsidRPr="00525E12">
        <w:rPr>
          <w:rFonts w:cs="Arial"/>
          <w:color w:val="000000"/>
          <w:szCs w:val="22"/>
        </w:rPr>
        <w:t>2</w:t>
      </w:r>
      <w:r w:rsidR="00525E12" w:rsidRPr="00525E12">
        <w:rPr>
          <w:rFonts w:cs="Arial"/>
          <w:color w:val="000000"/>
          <w:szCs w:val="22"/>
        </w:rPr>
        <w:t>3</w:t>
      </w:r>
      <w:r w:rsidRPr="00525E12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525E12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525E12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525E12" w:rsidRDefault="00707424" w:rsidP="00707424">
      <w:pPr>
        <w:spacing w:after="120"/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AYES:</w:t>
      </w:r>
    </w:p>
    <w:p w14:paraId="38A4F86E" w14:textId="77777777" w:rsidR="00707424" w:rsidRPr="00525E12" w:rsidRDefault="00707424" w:rsidP="00707424">
      <w:pPr>
        <w:spacing w:after="120"/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NOES:</w:t>
      </w:r>
    </w:p>
    <w:p w14:paraId="2BDB60C4" w14:textId="77777777" w:rsidR="00707424" w:rsidRPr="00525E12" w:rsidRDefault="00707424" w:rsidP="00707424">
      <w:pPr>
        <w:spacing w:after="120"/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ABSENT:</w:t>
      </w:r>
    </w:p>
    <w:p w14:paraId="1A1BF9A6" w14:textId="77777777" w:rsidR="00707424" w:rsidRPr="00525E12" w:rsidRDefault="00707424" w:rsidP="00707424">
      <w:pPr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ABSTAIN:</w:t>
      </w:r>
    </w:p>
    <w:p w14:paraId="3E4522DB" w14:textId="77777777" w:rsidR="00707424" w:rsidRPr="00A37323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A37323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A37323">
        <w:rPr>
          <w:rFonts w:cs="Arial"/>
          <w:szCs w:val="22"/>
          <w:u w:val="single"/>
        </w:rPr>
        <w:tab/>
      </w:r>
    </w:p>
    <w:p w14:paraId="780FBCBB" w14:textId="53865A41" w:rsidR="00AD7FCE" w:rsidRPr="00A37323" w:rsidRDefault="00A37323" w:rsidP="00707424">
      <w:pPr>
        <w:ind w:left="4680"/>
        <w:rPr>
          <w:rFonts w:cs="Arial"/>
          <w:szCs w:val="22"/>
        </w:rPr>
      </w:pPr>
      <w:r w:rsidRPr="00A37323">
        <w:rPr>
          <w:rFonts w:cs="Arial"/>
          <w:szCs w:val="22"/>
        </w:rPr>
        <w:t>Ed Valenzuela</w:t>
      </w:r>
      <w:r w:rsidR="00AD7FCE" w:rsidRPr="00A37323">
        <w:rPr>
          <w:rFonts w:cs="Arial"/>
          <w:szCs w:val="22"/>
        </w:rPr>
        <w:t xml:space="preserve">, Chair </w:t>
      </w:r>
    </w:p>
    <w:p w14:paraId="14F7AE26" w14:textId="7A7510BB" w:rsidR="00707424" w:rsidRPr="00A37323" w:rsidRDefault="00707424" w:rsidP="00707424">
      <w:pPr>
        <w:ind w:left="4680"/>
        <w:rPr>
          <w:rFonts w:cs="Arial"/>
          <w:szCs w:val="22"/>
        </w:rPr>
      </w:pPr>
      <w:r w:rsidRPr="00A37323">
        <w:rPr>
          <w:rFonts w:cs="Arial"/>
          <w:szCs w:val="22"/>
        </w:rPr>
        <w:t>Board of Supervisors</w:t>
      </w:r>
    </w:p>
    <w:p w14:paraId="7CE09642" w14:textId="77777777" w:rsidR="00707424" w:rsidRPr="00525E12" w:rsidRDefault="00707424" w:rsidP="00707424">
      <w:pPr>
        <w:ind w:left="4680"/>
        <w:rPr>
          <w:rFonts w:cs="Arial"/>
          <w:szCs w:val="22"/>
          <w:highlight w:val="yellow"/>
        </w:rPr>
      </w:pPr>
    </w:p>
    <w:p w14:paraId="4EF1537E" w14:textId="77777777" w:rsidR="002359E0" w:rsidRPr="00525E12" w:rsidRDefault="002359E0" w:rsidP="00707424">
      <w:pPr>
        <w:rPr>
          <w:rFonts w:cs="Arial"/>
          <w:szCs w:val="22"/>
          <w:highlight w:val="yellow"/>
        </w:rPr>
      </w:pPr>
    </w:p>
    <w:p w14:paraId="1B1CE9CF" w14:textId="77777777" w:rsidR="002359E0" w:rsidRPr="00525E12" w:rsidRDefault="002359E0" w:rsidP="00707424">
      <w:pPr>
        <w:rPr>
          <w:rFonts w:cs="Arial"/>
          <w:szCs w:val="22"/>
          <w:highlight w:val="yellow"/>
        </w:rPr>
      </w:pPr>
    </w:p>
    <w:p w14:paraId="3F42664B" w14:textId="77777777" w:rsidR="00707424" w:rsidRPr="00525E12" w:rsidRDefault="00707424" w:rsidP="00707424">
      <w:pPr>
        <w:rPr>
          <w:rFonts w:cs="Arial"/>
          <w:szCs w:val="22"/>
        </w:rPr>
      </w:pPr>
      <w:r w:rsidRPr="00525E12">
        <w:rPr>
          <w:rFonts w:cs="Arial"/>
          <w:szCs w:val="22"/>
        </w:rPr>
        <w:t>ATTEST:</w:t>
      </w:r>
    </w:p>
    <w:p w14:paraId="715B18A5" w14:textId="77777777" w:rsidR="00707424" w:rsidRPr="00525E12" w:rsidRDefault="00D616B3" w:rsidP="00707424">
      <w:pPr>
        <w:rPr>
          <w:rFonts w:cs="Arial"/>
          <w:szCs w:val="22"/>
        </w:rPr>
      </w:pPr>
      <w:r w:rsidRPr="00525E12">
        <w:rPr>
          <w:rFonts w:cs="Arial"/>
          <w:szCs w:val="22"/>
        </w:rPr>
        <w:t>Laura Bynum</w:t>
      </w:r>
      <w:r w:rsidR="00707424" w:rsidRPr="00525E12">
        <w:rPr>
          <w:rFonts w:cs="Arial"/>
          <w:szCs w:val="22"/>
        </w:rPr>
        <w:t>, Clerk</w:t>
      </w:r>
    </w:p>
    <w:p w14:paraId="4ECD6422" w14:textId="77777777" w:rsidR="00707424" w:rsidRPr="00525E12" w:rsidRDefault="00707424" w:rsidP="00707424">
      <w:pPr>
        <w:rPr>
          <w:rFonts w:cs="Arial"/>
          <w:szCs w:val="22"/>
        </w:rPr>
      </w:pPr>
      <w:r w:rsidRPr="00525E12">
        <w:rPr>
          <w:rFonts w:cs="Arial"/>
          <w:szCs w:val="22"/>
        </w:rPr>
        <w:t>Board of Supervisors</w:t>
      </w:r>
    </w:p>
    <w:p w14:paraId="38873F4C" w14:textId="77777777" w:rsidR="00707424" w:rsidRPr="00525E12" w:rsidRDefault="00707424" w:rsidP="00707424">
      <w:pPr>
        <w:rPr>
          <w:rFonts w:cs="Arial"/>
          <w:szCs w:val="22"/>
        </w:rPr>
      </w:pPr>
    </w:p>
    <w:p w14:paraId="3794235F" w14:textId="77777777" w:rsidR="00707424" w:rsidRPr="00525E12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525E12">
        <w:rPr>
          <w:rFonts w:cs="Arial"/>
          <w:szCs w:val="22"/>
        </w:rPr>
        <w:t xml:space="preserve">By </w:t>
      </w:r>
      <w:r w:rsidRPr="00525E12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525E12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6CEEB36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B74FF8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B74FF8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591401091">
    <w:abstractNumId w:val="5"/>
  </w:num>
  <w:num w:numId="2" w16cid:durableId="160700079">
    <w:abstractNumId w:val="7"/>
  </w:num>
  <w:num w:numId="3" w16cid:durableId="1595822494">
    <w:abstractNumId w:val="4"/>
  </w:num>
  <w:num w:numId="4" w16cid:durableId="144248266">
    <w:abstractNumId w:val="2"/>
  </w:num>
  <w:num w:numId="5" w16cid:durableId="2053840667">
    <w:abstractNumId w:val="3"/>
  </w:num>
  <w:num w:numId="6" w16cid:durableId="1884439631">
    <w:abstractNumId w:val="1"/>
  </w:num>
  <w:num w:numId="7" w16cid:durableId="84427133">
    <w:abstractNumId w:val="0"/>
  </w:num>
  <w:num w:numId="8" w16cid:durableId="1727604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5"/>
    <w:rsid w:val="0001121B"/>
    <w:rsid w:val="000129B1"/>
    <w:rsid w:val="00024670"/>
    <w:rsid w:val="00040000"/>
    <w:rsid w:val="000464F3"/>
    <w:rsid w:val="00057052"/>
    <w:rsid w:val="000654DB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D07B0"/>
    <w:rsid w:val="001E12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52F64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C5CE6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5E12"/>
    <w:rsid w:val="00526F7C"/>
    <w:rsid w:val="00534DBF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5FE0"/>
    <w:rsid w:val="005B7AE0"/>
    <w:rsid w:val="005E7748"/>
    <w:rsid w:val="005F10DE"/>
    <w:rsid w:val="006139FC"/>
    <w:rsid w:val="0061795F"/>
    <w:rsid w:val="00626D69"/>
    <w:rsid w:val="006330E1"/>
    <w:rsid w:val="00646321"/>
    <w:rsid w:val="006470AC"/>
    <w:rsid w:val="00696EFF"/>
    <w:rsid w:val="00700312"/>
    <w:rsid w:val="00707424"/>
    <w:rsid w:val="00720CCD"/>
    <w:rsid w:val="00721203"/>
    <w:rsid w:val="00755A67"/>
    <w:rsid w:val="00755EBF"/>
    <w:rsid w:val="00774600"/>
    <w:rsid w:val="00782BAF"/>
    <w:rsid w:val="007839B3"/>
    <w:rsid w:val="00793E9A"/>
    <w:rsid w:val="00797644"/>
    <w:rsid w:val="007A2267"/>
    <w:rsid w:val="007A4AD3"/>
    <w:rsid w:val="007B37EA"/>
    <w:rsid w:val="007C2C95"/>
    <w:rsid w:val="007D6BB1"/>
    <w:rsid w:val="007D6E99"/>
    <w:rsid w:val="007E136C"/>
    <w:rsid w:val="007E5655"/>
    <w:rsid w:val="007F395E"/>
    <w:rsid w:val="00801B79"/>
    <w:rsid w:val="00804EFC"/>
    <w:rsid w:val="008100A5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37323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74FF8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9647B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616B3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77F7"/>
    <w:rsid w:val="00E73D62"/>
    <w:rsid w:val="00E87FE4"/>
    <w:rsid w:val="00E90E7C"/>
    <w:rsid w:val="00E93D07"/>
    <w:rsid w:val="00EB07B3"/>
    <w:rsid w:val="00EC2B92"/>
    <w:rsid w:val="00EF23B6"/>
    <w:rsid w:val="00F16E88"/>
    <w:rsid w:val="00F2373D"/>
    <w:rsid w:val="00F41FDE"/>
    <w:rsid w:val="00F42821"/>
    <w:rsid w:val="00F452DD"/>
    <w:rsid w:val="00F60B85"/>
    <w:rsid w:val="00F63D21"/>
    <w:rsid w:val="00F86C0E"/>
    <w:rsid w:val="00FA0AA7"/>
    <w:rsid w:val="00FA3CFF"/>
    <w:rsid w:val="00FA7F28"/>
    <w:rsid w:val="00FB3300"/>
    <w:rsid w:val="00FB4B10"/>
    <w:rsid w:val="00FD613E"/>
    <w:rsid w:val="00FE3DBA"/>
    <w:rsid w:val="00FE5252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2019-04-10T23:11:00Z</cp:lastPrinted>
  <dcterms:created xsi:type="dcterms:W3CDTF">2023-01-19T23:13:00Z</dcterms:created>
  <dcterms:modified xsi:type="dcterms:W3CDTF">2023-01-24T17:28:00Z</dcterms:modified>
</cp:coreProperties>
</file>