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1946B846" w:rsidR="00BA6FF9" w:rsidRPr="00291360" w:rsidRDefault="00291360" w:rsidP="00374A85">
      <w:pPr>
        <w:pStyle w:val="Heading1"/>
        <w:spacing w:line="276" w:lineRule="auto"/>
        <w:jc w:val="center"/>
        <w:rPr>
          <w:color w:val="auto"/>
        </w:rPr>
      </w:pPr>
      <w:r>
        <w:rPr>
          <w:color w:val="auto"/>
        </w:rPr>
        <w:t xml:space="preserve">Supplemental </w:t>
      </w:r>
      <w:r w:rsidR="00124746" w:rsidRPr="00291360">
        <w:rPr>
          <w:color w:val="auto"/>
        </w:rPr>
        <w:t>Staff Report</w:t>
      </w:r>
    </w:p>
    <w:p w14:paraId="0AEEA22D" w14:textId="047939C5" w:rsidR="00BA6FF9" w:rsidRPr="00291360" w:rsidRDefault="00785500" w:rsidP="00BA6FF9">
      <w:pPr>
        <w:ind w:left="2160" w:hanging="2160"/>
        <w:rPr>
          <w:szCs w:val="20"/>
        </w:rPr>
      </w:pPr>
      <w:r w:rsidRPr="00291360">
        <w:rPr>
          <w:szCs w:val="20"/>
        </w:rPr>
        <w:t>M</w:t>
      </w:r>
      <w:r w:rsidR="00124746" w:rsidRPr="00291360">
        <w:rPr>
          <w:szCs w:val="20"/>
        </w:rPr>
        <w:t>eeting Date</w:t>
      </w:r>
      <w:r w:rsidR="00BA6FF9" w:rsidRPr="00291360">
        <w:rPr>
          <w:szCs w:val="20"/>
        </w:rPr>
        <w:t>:</w:t>
      </w:r>
      <w:r w:rsidR="00BA6FF9" w:rsidRPr="00291360">
        <w:rPr>
          <w:szCs w:val="20"/>
        </w:rPr>
        <w:tab/>
      </w:r>
      <w:r w:rsidR="00D460DB">
        <w:rPr>
          <w:szCs w:val="20"/>
        </w:rPr>
        <w:t>October 4</w:t>
      </w:r>
      <w:r w:rsidR="00C644FF" w:rsidRPr="00291360">
        <w:rPr>
          <w:szCs w:val="20"/>
        </w:rPr>
        <w:t>, 2022</w:t>
      </w:r>
    </w:p>
    <w:p w14:paraId="7580C93E" w14:textId="77777777" w:rsidR="00BA6FF9" w:rsidRPr="00291360" w:rsidRDefault="00124746" w:rsidP="00BA6FF9">
      <w:pPr>
        <w:ind w:left="2160" w:hanging="2160"/>
        <w:rPr>
          <w:szCs w:val="20"/>
        </w:rPr>
      </w:pPr>
      <w:r w:rsidRPr="00291360">
        <w:rPr>
          <w:szCs w:val="20"/>
        </w:rPr>
        <w:t>To</w:t>
      </w:r>
      <w:r w:rsidR="00BA6FF9" w:rsidRPr="00291360">
        <w:rPr>
          <w:szCs w:val="20"/>
        </w:rPr>
        <w:t>:</w:t>
      </w:r>
      <w:r w:rsidR="00BA6FF9" w:rsidRPr="00291360">
        <w:rPr>
          <w:szCs w:val="20"/>
        </w:rPr>
        <w:tab/>
        <w:t>Siskiyou County Board of Supervisors</w:t>
      </w:r>
    </w:p>
    <w:p w14:paraId="0E6A2833" w14:textId="65606E1B" w:rsidR="00BA6FF9" w:rsidRPr="00291360" w:rsidRDefault="00124746" w:rsidP="00521DF2">
      <w:pPr>
        <w:tabs>
          <w:tab w:val="left" w:pos="2160"/>
        </w:tabs>
        <w:rPr>
          <w:szCs w:val="20"/>
        </w:rPr>
      </w:pPr>
      <w:r w:rsidRPr="00291360">
        <w:rPr>
          <w:szCs w:val="20"/>
        </w:rPr>
        <w:t>From</w:t>
      </w:r>
      <w:r w:rsidR="00521DF2" w:rsidRPr="00291360">
        <w:rPr>
          <w:szCs w:val="20"/>
        </w:rPr>
        <w:t>:</w:t>
      </w:r>
      <w:r w:rsidR="00521DF2" w:rsidRPr="00291360">
        <w:rPr>
          <w:szCs w:val="20"/>
        </w:rPr>
        <w:tab/>
      </w:r>
      <w:r w:rsidR="00C644FF" w:rsidRPr="00291360">
        <w:rPr>
          <w:szCs w:val="20"/>
        </w:rPr>
        <w:t>Bernadette Cizin</w:t>
      </w:r>
      <w:r w:rsidR="00220D28" w:rsidRPr="00291360">
        <w:rPr>
          <w:szCs w:val="20"/>
        </w:rPr>
        <w:t xml:space="preserve">, </w:t>
      </w:r>
      <w:r w:rsidR="00C644FF" w:rsidRPr="00291360">
        <w:rPr>
          <w:szCs w:val="20"/>
        </w:rPr>
        <w:t xml:space="preserve">Assistant </w:t>
      </w:r>
      <w:r w:rsidR="00220D28" w:rsidRPr="00291360">
        <w:rPr>
          <w:szCs w:val="20"/>
        </w:rPr>
        <w:t>Planner</w:t>
      </w:r>
    </w:p>
    <w:p w14:paraId="3F4D8E0D" w14:textId="72FB1F10" w:rsidR="00102903" w:rsidRPr="00291360" w:rsidRDefault="00124746" w:rsidP="00374A85">
      <w:pPr>
        <w:spacing w:after="120"/>
        <w:ind w:left="2160" w:hanging="2160"/>
        <w:jc w:val="both"/>
        <w:rPr>
          <w:szCs w:val="20"/>
        </w:rPr>
      </w:pPr>
      <w:r w:rsidRPr="00291360">
        <w:rPr>
          <w:szCs w:val="20"/>
        </w:rPr>
        <w:t>Subject</w:t>
      </w:r>
      <w:r w:rsidR="00BA6FF9" w:rsidRPr="00291360">
        <w:rPr>
          <w:szCs w:val="20"/>
        </w:rPr>
        <w:t>:</w:t>
      </w:r>
      <w:r w:rsidR="00BA6FF9" w:rsidRPr="00291360">
        <w:rPr>
          <w:szCs w:val="20"/>
        </w:rPr>
        <w:tab/>
        <w:t xml:space="preserve">Proposed </w:t>
      </w:r>
      <w:r w:rsidR="0004401F" w:rsidRPr="00291360">
        <w:rPr>
          <w:szCs w:val="20"/>
        </w:rPr>
        <w:t xml:space="preserve">Matthew &amp; Audrey Parsons Trust </w:t>
      </w:r>
      <w:r w:rsidR="00AA25A4" w:rsidRPr="00291360">
        <w:rPr>
          <w:szCs w:val="20"/>
        </w:rPr>
        <w:t xml:space="preserve">Agricultural Preserve Amendment, </w:t>
      </w:r>
      <w:r w:rsidR="00152028" w:rsidRPr="00291360">
        <w:rPr>
          <w:szCs w:val="20"/>
        </w:rPr>
        <w:t xml:space="preserve">Williamson Act </w:t>
      </w:r>
      <w:r w:rsidR="00AA25A4" w:rsidRPr="00291360">
        <w:rPr>
          <w:szCs w:val="20"/>
        </w:rPr>
        <w:t>Rescission</w:t>
      </w:r>
      <w:r w:rsidR="00152028" w:rsidRPr="00291360">
        <w:rPr>
          <w:szCs w:val="20"/>
        </w:rPr>
        <w:t xml:space="preserve"> and Re</w:t>
      </w:r>
      <w:r w:rsidR="001F5D33" w:rsidRPr="00291360">
        <w:rPr>
          <w:szCs w:val="20"/>
        </w:rPr>
        <w:t>-</w:t>
      </w:r>
      <w:r w:rsidR="00152028" w:rsidRPr="00291360">
        <w:rPr>
          <w:szCs w:val="20"/>
        </w:rPr>
        <w:t>entry (APA-2</w:t>
      </w:r>
      <w:r w:rsidR="00AA25A4" w:rsidRPr="00291360">
        <w:rPr>
          <w:szCs w:val="20"/>
        </w:rPr>
        <w:t>2</w:t>
      </w:r>
      <w:r w:rsidR="00152028" w:rsidRPr="00291360">
        <w:rPr>
          <w:szCs w:val="20"/>
        </w:rPr>
        <w:t>-02</w:t>
      </w:r>
      <w:r w:rsidR="0004401F" w:rsidRPr="00291360">
        <w:rPr>
          <w:szCs w:val="20"/>
        </w:rPr>
        <w:t>)</w:t>
      </w:r>
      <w:r w:rsidR="00152028" w:rsidRPr="00291360">
        <w:rPr>
          <w:szCs w:val="20"/>
        </w:rPr>
        <w:t xml:space="preserve"> and CEQA Determination</w:t>
      </w:r>
    </w:p>
    <w:p w14:paraId="68D45C60" w14:textId="65D17D0C" w:rsidR="00BA6FF9" w:rsidRDefault="00785500" w:rsidP="00374A85">
      <w:pPr>
        <w:pStyle w:val="Heading2"/>
        <w:spacing w:before="600" w:line="360" w:lineRule="auto"/>
        <w:rPr>
          <w:color w:val="auto"/>
        </w:rPr>
      </w:pPr>
      <w:r w:rsidRPr="00291360">
        <w:rPr>
          <w:noProof/>
          <w:color w:val="auto"/>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291360">
        <w:rPr>
          <w:color w:val="auto"/>
        </w:rPr>
        <w:t>Background</w:t>
      </w:r>
      <w:r w:rsidR="00024F5B" w:rsidRPr="00291360">
        <w:rPr>
          <w:color w:val="auto"/>
        </w:rPr>
        <w:t xml:space="preserve"> and Discussion</w:t>
      </w:r>
    </w:p>
    <w:p w14:paraId="3B8C7A48" w14:textId="0DB8D9EC" w:rsidR="000A084C" w:rsidRDefault="000A084C" w:rsidP="00102903">
      <w:pPr>
        <w:rPr>
          <w:rFonts w:cstheme="minorHAnsi"/>
        </w:rPr>
      </w:pPr>
      <w:bookmarkStart w:id="0" w:name="_Hlk7426055"/>
      <w:r w:rsidRPr="0024490A">
        <w:rPr>
          <w:rFonts w:cstheme="minorHAnsi"/>
        </w:rPr>
        <w:t xml:space="preserve">On June 14, 2022, staff brought before the </w:t>
      </w:r>
      <w:r w:rsidR="00DA431C">
        <w:rPr>
          <w:rFonts w:cstheme="minorHAnsi"/>
        </w:rPr>
        <w:t>B</w:t>
      </w:r>
      <w:r w:rsidRPr="0024490A">
        <w:rPr>
          <w:rFonts w:cstheme="minorHAnsi"/>
        </w:rPr>
        <w:t xml:space="preserve">oard a proposed Agricultural Preserve amendment to bring approximately 525 acres, owned by Matthew &amp; Audrey Parsons Trust, under one individual preserve and a single Williamson Act contract. Staff recommended that the board not approve the request as there is an open code compliance case on one of the subject parcels. After </w:t>
      </w:r>
      <w:r w:rsidR="00DA431C">
        <w:rPr>
          <w:rFonts w:cstheme="minorHAnsi"/>
        </w:rPr>
        <w:t>B</w:t>
      </w:r>
      <w:r w:rsidRPr="0024490A">
        <w:rPr>
          <w:rFonts w:cstheme="minorHAnsi"/>
        </w:rPr>
        <w:t xml:space="preserve">oard discussion and comment by the applicant, the public hearing was continued to </w:t>
      </w:r>
      <w:r w:rsidR="00D460DB">
        <w:rPr>
          <w:rFonts w:cstheme="minorHAnsi"/>
        </w:rPr>
        <w:t>August 2, 2022</w:t>
      </w:r>
      <w:r w:rsidRPr="0024490A">
        <w:rPr>
          <w:rFonts w:cstheme="minorHAnsi"/>
        </w:rPr>
        <w:t xml:space="preserve">. </w:t>
      </w:r>
    </w:p>
    <w:p w14:paraId="7DA54F32" w14:textId="11606222" w:rsidR="00D460DB" w:rsidRDefault="00D460DB" w:rsidP="00102903">
      <w:pPr>
        <w:rPr>
          <w:rFonts w:cstheme="minorHAnsi"/>
        </w:rPr>
      </w:pPr>
      <w:r>
        <w:rPr>
          <w:rFonts w:cstheme="minorHAnsi"/>
        </w:rPr>
        <w:t xml:space="preserve">At the </w:t>
      </w:r>
      <w:r w:rsidR="0027190F">
        <w:rPr>
          <w:rFonts w:cstheme="minorHAnsi"/>
        </w:rPr>
        <w:t>August</w:t>
      </w:r>
      <w:r>
        <w:rPr>
          <w:rFonts w:cstheme="minorHAnsi"/>
        </w:rPr>
        <w:t xml:space="preserve"> hearing, staff provided the board with different </w:t>
      </w:r>
      <w:r w:rsidR="0027190F">
        <w:rPr>
          <w:rFonts w:cstheme="minorHAnsi"/>
        </w:rPr>
        <w:t>options for the owners</w:t>
      </w:r>
      <w:r>
        <w:rPr>
          <w:rFonts w:cstheme="minorHAnsi"/>
        </w:rPr>
        <w:t xml:space="preserve"> that would allow the</w:t>
      </w:r>
      <w:r w:rsidR="006959DA">
        <w:rPr>
          <w:rFonts w:cstheme="minorHAnsi"/>
        </w:rPr>
        <w:t xml:space="preserve">m to </w:t>
      </w:r>
      <w:r>
        <w:rPr>
          <w:rFonts w:cstheme="minorHAnsi"/>
        </w:rPr>
        <w:t xml:space="preserve">continue their business, which is not allowed by the current County Rules. These options included varied greatly </w:t>
      </w:r>
      <w:r w:rsidR="000F6CD9">
        <w:rPr>
          <w:rFonts w:cstheme="minorHAnsi"/>
        </w:rPr>
        <w:t>from</w:t>
      </w:r>
      <w:r>
        <w:rPr>
          <w:rFonts w:cstheme="minorHAnsi"/>
        </w:rPr>
        <w:t xml:space="preserve"> removing the subject property from the Williamson Act program to moving the business completely from the property, none of which</w:t>
      </w:r>
      <w:r w:rsidR="000F6CD9">
        <w:rPr>
          <w:rFonts w:cstheme="minorHAnsi"/>
        </w:rPr>
        <w:t xml:space="preserve"> the property owners considered to be feasible. </w:t>
      </w:r>
    </w:p>
    <w:p w14:paraId="2A9EDAF3" w14:textId="6BC0024B" w:rsidR="000F6CD9" w:rsidRDefault="000F6CD9" w:rsidP="00102903">
      <w:pPr>
        <w:rPr>
          <w:rFonts w:cstheme="minorHAnsi"/>
        </w:rPr>
      </w:pPr>
      <w:r>
        <w:rPr>
          <w:rFonts w:cstheme="minorHAnsi"/>
        </w:rPr>
        <w:t xml:space="preserve">Staff also discussed updates that could be made to the Board adopted Rules for the Establishment and Administration of Agricultural Preserves and Williamson Act Contracts in order to allow for additional compatible uses on Contracted Land. </w:t>
      </w:r>
    </w:p>
    <w:p w14:paraId="4024E7A4" w14:textId="5130E476" w:rsidR="000F6CD9" w:rsidRPr="0024490A" w:rsidRDefault="000F6CD9" w:rsidP="00102903">
      <w:pPr>
        <w:rPr>
          <w:rFonts w:cstheme="minorHAnsi"/>
        </w:rPr>
      </w:pPr>
      <w:r>
        <w:rPr>
          <w:rFonts w:cstheme="minorHAnsi"/>
        </w:rPr>
        <w:t xml:space="preserve">After </w:t>
      </w:r>
      <w:r w:rsidR="00DA431C">
        <w:rPr>
          <w:rFonts w:cstheme="minorHAnsi"/>
        </w:rPr>
        <w:t>B</w:t>
      </w:r>
      <w:r>
        <w:rPr>
          <w:rFonts w:cstheme="minorHAnsi"/>
        </w:rPr>
        <w:t xml:space="preserve">oard discussion and comment by the applicant, the public hearing was continued to today’s date, with direction from the </w:t>
      </w:r>
      <w:r w:rsidR="00DA431C">
        <w:rPr>
          <w:rFonts w:cstheme="minorHAnsi"/>
        </w:rPr>
        <w:t>B</w:t>
      </w:r>
      <w:r>
        <w:rPr>
          <w:rFonts w:cstheme="minorHAnsi"/>
        </w:rPr>
        <w:t xml:space="preserve">oard </w:t>
      </w:r>
      <w:r w:rsidR="006959DA">
        <w:rPr>
          <w:rFonts w:cstheme="minorHAnsi"/>
        </w:rPr>
        <w:t>for</w:t>
      </w:r>
      <w:r>
        <w:rPr>
          <w:rFonts w:cstheme="minorHAnsi"/>
        </w:rPr>
        <w:t xml:space="preserve"> staff to provide the cost of the most efficient and cost-effective solution for the applicant to </w:t>
      </w:r>
      <w:r w:rsidR="005118EC">
        <w:rPr>
          <w:rFonts w:cstheme="minorHAnsi"/>
        </w:rPr>
        <w:t>continue</w:t>
      </w:r>
      <w:r>
        <w:rPr>
          <w:rFonts w:cstheme="minorHAnsi"/>
        </w:rPr>
        <w:t xml:space="preserve"> the business on </w:t>
      </w:r>
      <w:r w:rsidR="005118EC">
        <w:rPr>
          <w:rFonts w:cstheme="minorHAnsi"/>
        </w:rPr>
        <w:t xml:space="preserve">their property and provide proposed updates </w:t>
      </w:r>
      <w:r w:rsidR="006959DA">
        <w:rPr>
          <w:rFonts w:cstheme="minorHAnsi"/>
        </w:rPr>
        <w:t>including</w:t>
      </w:r>
      <w:r w:rsidR="005118EC">
        <w:rPr>
          <w:rFonts w:cstheme="minorHAnsi"/>
        </w:rPr>
        <w:t xml:space="preserve"> the addition of an additional compatible use within the Rules.</w:t>
      </w:r>
    </w:p>
    <w:p w14:paraId="4CFB6F9B" w14:textId="2AEF211E" w:rsidR="00AC332F" w:rsidRDefault="005118EC" w:rsidP="006267F3">
      <w:pPr>
        <w:spacing w:after="0" w:line="276" w:lineRule="auto"/>
        <w:rPr>
          <w:rFonts w:cstheme="minorHAnsi"/>
        </w:rPr>
      </w:pPr>
      <w:r>
        <w:rPr>
          <w:rFonts w:cstheme="minorHAnsi"/>
          <w:b/>
          <w:bCs/>
          <w:u w:val="single"/>
        </w:rPr>
        <w:t>Potential Solution</w:t>
      </w:r>
      <w:r w:rsidR="00070254" w:rsidRPr="0024490A">
        <w:rPr>
          <w:rFonts w:cstheme="minorHAnsi"/>
        </w:rPr>
        <w:br/>
      </w:r>
      <w:r w:rsidR="00AC332F">
        <w:rPr>
          <w:rFonts w:cstheme="minorHAnsi"/>
        </w:rPr>
        <w:t>Planning staff met to discuss options for the property owners to continue their business where it currently resides and to keep the property in the Williamson Act program.</w:t>
      </w:r>
      <w:r w:rsidR="006267F3">
        <w:rPr>
          <w:rFonts w:cstheme="minorHAnsi"/>
        </w:rPr>
        <w:t xml:space="preserve"> </w:t>
      </w:r>
      <w:r w:rsidR="00AC332F">
        <w:rPr>
          <w:rFonts w:cstheme="minorHAnsi"/>
        </w:rPr>
        <w:t>It was confirmed that, as adopted, the current Rules do not allow for the wood processing, storage and sales of commercially produced wood pellets on contracted property.</w:t>
      </w:r>
    </w:p>
    <w:p w14:paraId="64C334B0" w14:textId="77777777" w:rsidR="006267F3" w:rsidRDefault="006267F3" w:rsidP="00B14880">
      <w:pPr>
        <w:spacing w:after="0" w:line="276" w:lineRule="auto"/>
        <w:rPr>
          <w:rFonts w:cstheme="minorHAnsi"/>
        </w:rPr>
      </w:pPr>
    </w:p>
    <w:p w14:paraId="2D75F697" w14:textId="0F69A0E3" w:rsidR="006267F3" w:rsidRDefault="00AC332F" w:rsidP="005118EC">
      <w:pPr>
        <w:spacing w:after="0" w:line="240" w:lineRule="auto"/>
        <w:rPr>
          <w:rFonts w:cstheme="minorHAnsi"/>
        </w:rPr>
      </w:pPr>
      <w:r>
        <w:rPr>
          <w:rFonts w:cstheme="minorHAnsi"/>
        </w:rPr>
        <w:t xml:space="preserve">Should the Board update the Rules to include </w:t>
      </w:r>
      <w:r w:rsidR="001030A9">
        <w:rPr>
          <w:rFonts w:cstheme="minorHAnsi"/>
        </w:rPr>
        <w:t xml:space="preserve">a </w:t>
      </w:r>
      <w:r>
        <w:rPr>
          <w:rFonts w:cstheme="minorHAnsi"/>
        </w:rPr>
        <w:t xml:space="preserve">compatible use which would </w:t>
      </w:r>
      <w:r w:rsidR="000E6EB3">
        <w:rPr>
          <w:rFonts w:cstheme="minorHAnsi"/>
        </w:rPr>
        <w:t>allow</w:t>
      </w:r>
      <w:r>
        <w:rPr>
          <w:rFonts w:cstheme="minorHAnsi"/>
        </w:rPr>
        <w:t xml:space="preserve"> this operation, the owners would then have a path</w:t>
      </w:r>
      <w:r w:rsidR="00B871F1">
        <w:rPr>
          <w:rFonts w:cstheme="minorHAnsi"/>
        </w:rPr>
        <w:t xml:space="preserve"> </w:t>
      </w:r>
      <w:r w:rsidR="000E6EB3">
        <w:rPr>
          <w:rFonts w:cstheme="minorHAnsi"/>
        </w:rPr>
        <w:t xml:space="preserve">forward, in which they could apply for to rezone the entire parcel to Non-Prime Agricultural (AG-2) and </w:t>
      </w:r>
      <w:r w:rsidR="006959DA">
        <w:rPr>
          <w:rFonts w:cstheme="minorHAnsi"/>
        </w:rPr>
        <w:t xml:space="preserve">for </w:t>
      </w:r>
      <w:r w:rsidR="000E6EB3">
        <w:rPr>
          <w:rFonts w:cstheme="minorHAnsi"/>
        </w:rPr>
        <w:t xml:space="preserve">a Use Permit. </w:t>
      </w:r>
      <w:r w:rsidR="006267F3">
        <w:rPr>
          <w:rFonts w:cstheme="minorHAnsi"/>
        </w:rPr>
        <w:t xml:space="preserve"> </w:t>
      </w:r>
      <w:r w:rsidR="000E6EB3">
        <w:rPr>
          <w:rFonts w:cstheme="minorHAnsi"/>
        </w:rPr>
        <w:t>Staff determined this to be the least costly route as this would not require structures utilized for the business to be relocated nor does it require a survey of the property, two major c</w:t>
      </w:r>
      <w:r w:rsidR="006959DA">
        <w:rPr>
          <w:rFonts w:cstheme="minorHAnsi"/>
        </w:rPr>
        <w:t>ost c</w:t>
      </w:r>
      <w:r w:rsidR="000E6EB3">
        <w:rPr>
          <w:rFonts w:cstheme="minorHAnsi"/>
        </w:rPr>
        <w:t>oncerns expressed by the property owners.</w:t>
      </w:r>
    </w:p>
    <w:p w14:paraId="31C19CC7" w14:textId="77777777" w:rsidR="006267F3" w:rsidRDefault="006267F3" w:rsidP="005118EC">
      <w:pPr>
        <w:spacing w:after="0" w:line="240" w:lineRule="auto"/>
        <w:rPr>
          <w:rFonts w:cstheme="minorHAnsi"/>
        </w:rPr>
      </w:pPr>
    </w:p>
    <w:p w14:paraId="1199F612" w14:textId="1BF2194F" w:rsidR="000E6EB3" w:rsidRDefault="0027190F" w:rsidP="005118EC">
      <w:pPr>
        <w:spacing w:after="0" w:line="240" w:lineRule="auto"/>
        <w:rPr>
          <w:rFonts w:cstheme="minorHAnsi"/>
        </w:rPr>
      </w:pPr>
      <w:r>
        <w:rPr>
          <w:rFonts w:cstheme="minorHAnsi"/>
        </w:rPr>
        <w:t xml:space="preserve">For this </w:t>
      </w:r>
      <w:proofErr w:type="gramStart"/>
      <w:r>
        <w:rPr>
          <w:rFonts w:cstheme="minorHAnsi"/>
        </w:rPr>
        <w:t>particular project</w:t>
      </w:r>
      <w:proofErr w:type="gramEnd"/>
      <w:r>
        <w:rPr>
          <w:rFonts w:cstheme="minorHAnsi"/>
        </w:rPr>
        <w:t xml:space="preserve">, the cost would </w:t>
      </w:r>
      <w:r w:rsidR="006959DA">
        <w:rPr>
          <w:rFonts w:cstheme="minorHAnsi"/>
        </w:rPr>
        <w:t>include</w:t>
      </w:r>
      <w:r>
        <w:rPr>
          <w:rFonts w:cstheme="minorHAnsi"/>
        </w:rPr>
        <w:t xml:space="preserve"> the following:</w:t>
      </w:r>
    </w:p>
    <w:p w14:paraId="7B329674" w14:textId="490F3801" w:rsidR="0027190F" w:rsidRPr="006267F3" w:rsidRDefault="0027190F" w:rsidP="00B14880">
      <w:pPr>
        <w:pStyle w:val="ListParagraph"/>
        <w:numPr>
          <w:ilvl w:val="0"/>
          <w:numId w:val="23"/>
        </w:numPr>
        <w:spacing w:after="0" w:line="240" w:lineRule="auto"/>
        <w:rPr>
          <w:rFonts w:cstheme="minorHAnsi"/>
        </w:rPr>
      </w:pPr>
      <w:r w:rsidRPr="006267F3">
        <w:rPr>
          <w:rFonts w:cstheme="minorHAnsi"/>
        </w:rPr>
        <w:t>$4100.00 - Application/Processing fees and CEQA determination to county agencies</w:t>
      </w:r>
    </w:p>
    <w:p w14:paraId="67E44CA0" w14:textId="2CD1A359" w:rsidR="0027190F" w:rsidRPr="006267F3" w:rsidRDefault="0027190F" w:rsidP="00B14880">
      <w:pPr>
        <w:pStyle w:val="ListParagraph"/>
        <w:numPr>
          <w:ilvl w:val="0"/>
          <w:numId w:val="23"/>
        </w:numPr>
        <w:spacing w:after="0" w:line="240" w:lineRule="auto"/>
        <w:rPr>
          <w:rFonts w:cstheme="minorHAnsi"/>
        </w:rPr>
      </w:pPr>
      <w:r w:rsidRPr="006267F3">
        <w:rPr>
          <w:rFonts w:cstheme="minorHAnsi"/>
        </w:rPr>
        <w:t>$92.00 – Recording Fee (+ $3 per page for additional pages)</w:t>
      </w:r>
    </w:p>
    <w:p w14:paraId="2A035CDA" w14:textId="77777777" w:rsidR="006267F3" w:rsidRDefault="006267F3" w:rsidP="00102903"/>
    <w:p w14:paraId="4F2E3DD1" w14:textId="4542AD69" w:rsidR="0042747E" w:rsidRPr="0010085A" w:rsidRDefault="006959DA" w:rsidP="00102903">
      <w:r w:rsidRPr="0010085A">
        <w:t>It should be noted that this is based on staff’s preliminary evaluation of the property, projected use based on</w:t>
      </w:r>
      <w:r w:rsidR="0010085A" w:rsidRPr="0010085A">
        <w:t xml:space="preserve"> the current use and the anticipation that a CEQA exemption may apply.</w:t>
      </w:r>
    </w:p>
    <w:p w14:paraId="22CF41E9" w14:textId="6D076157" w:rsidR="00070254" w:rsidRPr="00374A85" w:rsidRDefault="00070254" w:rsidP="00374A85">
      <w:pPr>
        <w:spacing w:after="0" w:line="276" w:lineRule="auto"/>
        <w:rPr>
          <w:b/>
          <w:bCs/>
          <w:u w:val="single"/>
        </w:rPr>
      </w:pPr>
      <w:r w:rsidRPr="00374A85">
        <w:rPr>
          <w:b/>
          <w:bCs/>
          <w:u w:val="single"/>
        </w:rPr>
        <w:t>Contracts</w:t>
      </w:r>
    </w:p>
    <w:p w14:paraId="31AD803D" w14:textId="494C39B4" w:rsidR="007B6288" w:rsidRPr="00374A85" w:rsidRDefault="00AF2F80" w:rsidP="007B6288">
      <w:r w:rsidRPr="00374A85">
        <w:t>APN</w:t>
      </w:r>
      <w:r w:rsidR="004F39AB" w:rsidRPr="00374A85">
        <w:t>s</w:t>
      </w:r>
      <w:r w:rsidR="0029369A" w:rsidRPr="00374A85">
        <w:t xml:space="preserve"> 010-010-630 and 010-010-660</w:t>
      </w:r>
      <w:r w:rsidRPr="00374A85">
        <w:t xml:space="preserve"> are </w:t>
      </w:r>
      <w:r w:rsidR="00111A8B" w:rsidRPr="00374A85">
        <w:t>under Contract #73020</w:t>
      </w:r>
      <w:r w:rsidR="00A249E4" w:rsidRPr="00374A85">
        <w:t>. Even though there is an active code compliance case, staff</w:t>
      </w:r>
      <w:r w:rsidR="00111A8B" w:rsidRPr="00374A85">
        <w:t xml:space="preserve"> </w:t>
      </w:r>
      <w:r w:rsidR="00A249E4" w:rsidRPr="00374A85">
        <w:t>would not recommend</w:t>
      </w:r>
      <w:r w:rsidR="00070254" w:rsidRPr="00374A85">
        <w:t xml:space="preserve"> </w:t>
      </w:r>
      <w:r w:rsidR="00262652" w:rsidRPr="00374A85">
        <w:t>the issuance of</w:t>
      </w:r>
      <w:r w:rsidR="00070254" w:rsidRPr="00374A85">
        <w:t xml:space="preserve"> a Notice of Non-Renewal </w:t>
      </w:r>
      <w:r w:rsidR="00111A8B" w:rsidRPr="00374A85">
        <w:t xml:space="preserve">as the owners are actively working to remedy </w:t>
      </w:r>
      <w:r w:rsidR="00A249E4" w:rsidRPr="00374A85">
        <w:t>the compliance issues</w:t>
      </w:r>
      <w:r w:rsidR="00070254" w:rsidRPr="00374A85">
        <w:t>.</w:t>
      </w:r>
    </w:p>
    <w:p w14:paraId="535D6767" w14:textId="4BEC94F8" w:rsidR="007B6288" w:rsidRPr="00374A85" w:rsidRDefault="007C6DB4" w:rsidP="00703ED9">
      <w:r w:rsidRPr="00374A85">
        <w:t xml:space="preserve">APN’s 010-010-550 and 002-170-270 </w:t>
      </w:r>
      <w:r w:rsidR="00111A8B" w:rsidRPr="00374A85">
        <w:t xml:space="preserve">are currently in the </w:t>
      </w:r>
      <w:proofErr w:type="gramStart"/>
      <w:r w:rsidR="00111A8B" w:rsidRPr="00374A85">
        <w:t>Non-Renewal</w:t>
      </w:r>
      <w:proofErr w:type="gramEnd"/>
      <w:r w:rsidR="00111A8B" w:rsidRPr="00374A85">
        <w:t xml:space="preserve"> process under Contract #76033NR </w:t>
      </w:r>
      <w:r w:rsidR="00146824" w:rsidRPr="00374A85">
        <w:t>due to the non-compliance of a</w:t>
      </w:r>
      <w:r w:rsidR="004F39AB" w:rsidRPr="00374A85">
        <w:t xml:space="preserve"> separate</w:t>
      </w:r>
      <w:r w:rsidR="00146824" w:rsidRPr="00374A85">
        <w:t xml:space="preserve"> property owner under the </w:t>
      </w:r>
      <w:r w:rsidR="00111A8B" w:rsidRPr="00374A85">
        <w:t xml:space="preserve">same </w:t>
      </w:r>
      <w:r w:rsidR="00146824" w:rsidRPr="00374A85">
        <w:t>contract.</w:t>
      </w:r>
    </w:p>
    <w:p w14:paraId="13F4CF83" w14:textId="031B3E7E" w:rsidR="00680183" w:rsidRPr="00374A85" w:rsidRDefault="00810B10" w:rsidP="00374A85">
      <w:pPr>
        <w:spacing w:line="276" w:lineRule="auto"/>
      </w:pPr>
      <w:r w:rsidRPr="00374A85">
        <w:rPr>
          <w:b/>
          <w:bCs/>
          <w:u w:val="single"/>
        </w:rPr>
        <w:t>Agricultural Preserve</w:t>
      </w:r>
      <w:r w:rsidRPr="00374A85">
        <w:br/>
        <w:t>The subject parcels are located</w:t>
      </w:r>
      <w:r w:rsidR="00680183" w:rsidRPr="00374A85">
        <w:t xml:space="preserve"> with</w:t>
      </w:r>
      <w:r w:rsidRPr="00374A85">
        <w:t xml:space="preserve">in </w:t>
      </w:r>
      <w:r w:rsidR="007C47CB" w:rsidRPr="00374A85">
        <w:t xml:space="preserve">two </w:t>
      </w:r>
      <w:r w:rsidR="000F4209" w:rsidRPr="00374A85">
        <w:t>different</w:t>
      </w:r>
      <w:r w:rsidRPr="00374A85">
        <w:t xml:space="preserve"> Agricultural Preserve</w:t>
      </w:r>
      <w:r w:rsidR="000F4209" w:rsidRPr="00374A85">
        <w:t>s.</w:t>
      </w:r>
    </w:p>
    <w:p w14:paraId="62483966" w14:textId="0E5BE860" w:rsidR="007C47CB" w:rsidRPr="00374A85" w:rsidRDefault="008462F4" w:rsidP="00703ED9">
      <w:r w:rsidRPr="00374A85">
        <w:t>If the code enforcement issue were resolved and s</w:t>
      </w:r>
      <w:r w:rsidR="007C47CB" w:rsidRPr="00374A85">
        <w:t xml:space="preserve">hould the Board approve the applicant’s request, </w:t>
      </w:r>
      <w:r w:rsidR="00B332A7" w:rsidRPr="00374A85">
        <w:t xml:space="preserve">the Parsons Trust will own </w:t>
      </w:r>
      <w:proofErr w:type="gramStart"/>
      <w:r w:rsidR="00B332A7" w:rsidRPr="00374A85">
        <w:t>all of</w:t>
      </w:r>
      <w:proofErr w:type="gramEnd"/>
      <w:r w:rsidR="00B332A7" w:rsidRPr="00374A85">
        <w:t xml:space="preserve"> the property under one particular agricultural preserve as shown in Figure 1 of this report.</w:t>
      </w:r>
    </w:p>
    <w:p w14:paraId="0B233D78" w14:textId="0BD8DAC2" w:rsidR="00965C2D" w:rsidRPr="00374A85" w:rsidRDefault="00965C2D" w:rsidP="00374A85">
      <w:pPr>
        <w:spacing w:line="276" w:lineRule="auto"/>
      </w:pPr>
      <w:r w:rsidRPr="00374A85">
        <w:rPr>
          <w:b/>
          <w:bCs/>
          <w:u w:val="single"/>
        </w:rPr>
        <w:t>Williamson Act Contract Rescission and Re-entry</w:t>
      </w:r>
      <w:r w:rsidRPr="00374A85">
        <w:br/>
      </w:r>
      <w:r w:rsidR="001B60F9" w:rsidRPr="00374A85">
        <w:t xml:space="preserve">APN 010-010-660 </w:t>
      </w:r>
      <w:r w:rsidR="00B332A7" w:rsidRPr="00374A85">
        <w:t xml:space="preserve">and a portion of 010-010-660 </w:t>
      </w:r>
      <w:r w:rsidR="001B60F9" w:rsidRPr="00374A85">
        <w:t>is under contract</w:t>
      </w:r>
      <w:r w:rsidR="00B332A7" w:rsidRPr="00374A85">
        <w:t xml:space="preserve"> No. 73020</w:t>
      </w:r>
      <w:r w:rsidR="001B60F9" w:rsidRPr="00374A85">
        <w:t xml:space="preserve"> as recorded in the Siskiyou County </w:t>
      </w:r>
      <w:r w:rsidR="007252C0" w:rsidRPr="00374A85">
        <w:t xml:space="preserve">Official </w:t>
      </w:r>
      <w:r w:rsidR="001D2E0F" w:rsidRPr="00374A85">
        <w:t>Record</w:t>
      </w:r>
      <w:r w:rsidR="007252C0" w:rsidRPr="00374A85">
        <w:t>s as Document No 05-0001313 on January 24, 2005. The remainder of 010-010-660 was later included in Contract No. 73020 by Agricultural Preserve Contract Amendment APA-00-06.</w:t>
      </w:r>
    </w:p>
    <w:p w14:paraId="20538F04" w14:textId="47392CB5" w:rsidR="00E4659A" w:rsidRPr="00374A85" w:rsidRDefault="00E4659A" w:rsidP="001B60F9">
      <w:r w:rsidRPr="00374A85">
        <w:t>APN 002-170-270</w:t>
      </w:r>
      <w:r w:rsidR="00AE75BC" w:rsidRPr="00374A85">
        <w:t xml:space="preserve"> and 010-010-550 </w:t>
      </w:r>
      <w:r w:rsidR="002E310C" w:rsidRPr="00374A85">
        <w:t xml:space="preserve">are under contract recorded </w:t>
      </w:r>
      <w:r w:rsidR="007252C0" w:rsidRPr="00374A85">
        <w:t xml:space="preserve">in the Siskiyou County Official Records </w:t>
      </w:r>
      <w:r w:rsidR="002E310C" w:rsidRPr="00374A85">
        <w:t>at Volume 750 Page 283</w:t>
      </w:r>
      <w:r w:rsidR="007252C0" w:rsidRPr="00374A85">
        <w:t xml:space="preserve"> on February 17, 1976</w:t>
      </w:r>
      <w:r w:rsidR="002E310C" w:rsidRPr="00374A85">
        <w:t>.</w:t>
      </w:r>
    </w:p>
    <w:p w14:paraId="570E5ADD" w14:textId="39CD3D7A" w:rsidR="00B70C9A" w:rsidRPr="00374A85" w:rsidRDefault="008462F4" w:rsidP="00703ED9">
      <w:r w:rsidRPr="00374A85">
        <w:t>If the code enforcement issue were resolved and s</w:t>
      </w:r>
      <w:r w:rsidR="004F39AB" w:rsidRPr="00374A85">
        <w:t xml:space="preserve">hould the Board approve the applicant’s request, the Parsons Trust will own </w:t>
      </w:r>
      <w:proofErr w:type="gramStart"/>
      <w:r w:rsidR="004F39AB" w:rsidRPr="00374A85">
        <w:t>all of</w:t>
      </w:r>
      <w:proofErr w:type="gramEnd"/>
      <w:r w:rsidR="004F39AB" w:rsidRPr="00374A85">
        <w:t xml:space="preserve"> the property under one particular Williamson Act Contract as shown in Figure 1 of this report.</w:t>
      </w:r>
    </w:p>
    <w:p w14:paraId="45D2B5FA" w14:textId="71AE7CB3" w:rsidR="00506D54" w:rsidRPr="00374A85" w:rsidRDefault="00506D54" w:rsidP="00B14880">
      <w:pPr>
        <w:spacing w:after="200" w:line="288" w:lineRule="auto"/>
        <w:jc w:val="center"/>
      </w:pPr>
      <w:r w:rsidRPr="00374A85">
        <w:rPr>
          <w:noProof/>
        </w:rPr>
        <w:drawing>
          <wp:inline distT="0" distB="0" distL="0" distR="0" wp14:anchorId="4763F701" wp14:editId="1DC9B49F">
            <wp:extent cx="4295775" cy="262649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8" cstate="print">
                      <a:extLst>
                        <a:ext uri="{28A0092B-C50C-407E-A947-70E740481C1C}">
                          <a14:useLocalDpi xmlns:a14="http://schemas.microsoft.com/office/drawing/2010/main" val="0"/>
                        </a:ext>
                      </a:extLst>
                    </a:blip>
                    <a:srcRect b="20876"/>
                    <a:stretch/>
                  </pic:blipFill>
                  <pic:spPr bwMode="auto">
                    <a:xfrm>
                      <a:off x="0" y="0"/>
                      <a:ext cx="4351218" cy="2660392"/>
                    </a:xfrm>
                    <a:prstGeom prst="rect">
                      <a:avLst/>
                    </a:prstGeom>
                    <a:ln>
                      <a:noFill/>
                    </a:ln>
                    <a:extLst>
                      <a:ext uri="{53640926-AAD7-44D8-BBD7-CCE9431645EC}">
                        <a14:shadowObscured xmlns:a14="http://schemas.microsoft.com/office/drawing/2010/main"/>
                      </a:ext>
                    </a:extLst>
                  </pic:spPr>
                </pic:pic>
              </a:graphicData>
            </a:graphic>
          </wp:inline>
        </w:drawing>
      </w:r>
      <w:r w:rsidRPr="00374A85">
        <w:br/>
        <w:t xml:space="preserve">Figure 1: </w:t>
      </w:r>
      <w:r w:rsidR="00B70C9A" w:rsidRPr="00374A85">
        <w:t>Subject Parcels</w:t>
      </w:r>
    </w:p>
    <w:bookmarkEnd w:id="0"/>
    <w:p w14:paraId="15CF83E6" w14:textId="2799AA3B" w:rsidR="00D85513" w:rsidRPr="0065210C" w:rsidRDefault="00D85513" w:rsidP="00374A85">
      <w:pPr>
        <w:pStyle w:val="Heading2"/>
        <w:spacing w:line="276" w:lineRule="auto"/>
        <w:rPr>
          <w:color w:val="auto"/>
        </w:rPr>
      </w:pPr>
      <w:r w:rsidRPr="0065210C">
        <w:rPr>
          <w:color w:val="auto"/>
        </w:rPr>
        <w:lastRenderedPageBreak/>
        <w:t>Comments</w:t>
      </w:r>
    </w:p>
    <w:p w14:paraId="05622FEA" w14:textId="77777777" w:rsidR="00D85513" w:rsidRPr="0065210C" w:rsidRDefault="00D85513" w:rsidP="0065432F">
      <w:r w:rsidRPr="0065210C">
        <w:t>Notice of the project was published and posted as required prior to the Board of Supervisors meeting and no public comment was received as of the preparation of this staff report.</w:t>
      </w:r>
    </w:p>
    <w:p w14:paraId="4F7ADF24" w14:textId="77777777" w:rsidR="00BA6FF9" w:rsidRPr="00374A85" w:rsidRDefault="00124746" w:rsidP="00374A85">
      <w:pPr>
        <w:pStyle w:val="Heading2"/>
        <w:spacing w:line="276" w:lineRule="auto"/>
        <w:rPr>
          <w:color w:val="auto"/>
        </w:rPr>
      </w:pPr>
      <w:r w:rsidRPr="00374A85">
        <w:rPr>
          <w:color w:val="auto"/>
        </w:rPr>
        <w:t>Recommended Action</w:t>
      </w:r>
    </w:p>
    <w:p w14:paraId="6550C9D7" w14:textId="5D87A33E" w:rsidR="003E7E2D" w:rsidRPr="00374A85" w:rsidRDefault="00BA6FF9" w:rsidP="0065432F">
      <w:r w:rsidRPr="00374A85">
        <w:t>Should the Board of Supervisors concur with</w:t>
      </w:r>
      <w:r w:rsidR="00053FB1" w:rsidRPr="00374A85">
        <w:t xml:space="preserve"> staff’s analysis</w:t>
      </w:r>
      <w:r w:rsidR="00DE09B0" w:rsidRPr="00374A85">
        <w:t xml:space="preserve">, </w:t>
      </w:r>
      <w:r w:rsidR="001521E6" w:rsidRPr="00374A85">
        <w:t xml:space="preserve">staff recommends that the Board of Supervisors </w:t>
      </w:r>
      <w:r w:rsidR="00AA25A4" w:rsidRPr="00374A85">
        <w:t xml:space="preserve">continue the public hearing to </w:t>
      </w:r>
      <w:r w:rsidR="00292752" w:rsidRPr="00374A85">
        <w:t xml:space="preserve">give </w:t>
      </w:r>
      <w:r w:rsidR="00AA25A4" w:rsidRPr="00374A85">
        <w:t xml:space="preserve">the property owners </w:t>
      </w:r>
      <w:r w:rsidR="00374A85" w:rsidRPr="00374A85">
        <w:t>additional time</w:t>
      </w:r>
      <w:r w:rsidR="00AA25A4" w:rsidRPr="00374A85">
        <w:t xml:space="preserve"> to return the property to compliance with County Code and the </w:t>
      </w:r>
      <w:r w:rsidR="0065210C" w:rsidRPr="00374A85">
        <w:t xml:space="preserve">adopted </w:t>
      </w:r>
      <w:r w:rsidR="00AA25A4" w:rsidRPr="00374A85">
        <w:t>Rules for the Establishment and Administration of Agricultural Preserves and Williamson Act Contracts.</w:t>
      </w:r>
    </w:p>
    <w:p w14:paraId="4A992B91" w14:textId="77777777" w:rsidR="00BA6FF9" w:rsidRPr="00374A85" w:rsidRDefault="00124746" w:rsidP="00374A85">
      <w:pPr>
        <w:pStyle w:val="Heading2"/>
        <w:spacing w:line="276" w:lineRule="auto"/>
        <w:rPr>
          <w:color w:val="auto"/>
        </w:rPr>
      </w:pPr>
      <w:bookmarkStart w:id="1" w:name="_Hlk104989853"/>
      <w:r w:rsidRPr="00374A85">
        <w:rPr>
          <w:color w:val="auto"/>
        </w:rPr>
        <w:t>Recommended Motions</w:t>
      </w:r>
    </w:p>
    <w:p w14:paraId="71294831" w14:textId="77777777" w:rsidR="00BA6FF9" w:rsidRPr="00374A85" w:rsidRDefault="00BA6FF9" w:rsidP="0065432F">
      <w:r w:rsidRPr="00374A85">
        <w:t>I move to take the following actions:</w:t>
      </w:r>
    </w:p>
    <w:p w14:paraId="0D53B61E" w14:textId="4C5B54C5" w:rsidR="00F25CF6" w:rsidRPr="00374A85" w:rsidRDefault="00A1713B" w:rsidP="00374A85">
      <w:pPr>
        <w:pStyle w:val="ListParagraph"/>
        <w:numPr>
          <w:ilvl w:val="0"/>
          <w:numId w:val="8"/>
        </w:numPr>
      </w:pPr>
      <w:r w:rsidRPr="00374A85">
        <w:t>Continue the Public Hearing to December 13, 2022</w:t>
      </w:r>
      <w:r w:rsidR="0098517A">
        <w:t>,</w:t>
      </w:r>
      <w:r w:rsidR="00B02334" w:rsidRPr="00374A85">
        <w:t xml:space="preserve"> </w:t>
      </w:r>
      <w:r w:rsidR="00374A85" w:rsidRPr="00374A85">
        <w:t>to give the applicants time to return to</w:t>
      </w:r>
      <w:r w:rsidR="00B02334" w:rsidRPr="00374A85">
        <w:t xml:space="preserve"> compliance with Siskiyou County code and the “Rules for the Establishment and Administration of Agricultural Preserves and Williamson Act Contracts”.</w:t>
      </w:r>
      <w:bookmarkEnd w:id="1"/>
    </w:p>
    <w:sectPr w:rsidR="00F25CF6" w:rsidRPr="00374A8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BF35" w14:textId="77777777" w:rsidR="00646A69" w:rsidRDefault="00646A69">
      <w:r>
        <w:separator/>
      </w:r>
    </w:p>
  </w:endnote>
  <w:endnote w:type="continuationSeparator" w:id="0">
    <w:p w14:paraId="75221F3D" w14:textId="77777777" w:rsidR="00646A69" w:rsidRDefault="0064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2E93D17" w:rsidR="008406F4" w:rsidRDefault="00C72FE2" w:rsidP="005F4F8E">
    <w:pPr>
      <w:pStyle w:val="Footer"/>
      <w:tabs>
        <w:tab w:val="clear" w:pos="4320"/>
        <w:tab w:val="clear" w:pos="8640"/>
        <w:tab w:val="right" w:pos="9900"/>
      </w:tabs>
    </w:pPr>
    <w:r>
      <w:t>Matthew &amp; Audrey Parsons Trust</w:t>
    </w:r>
    <w:r w:rsidR="00A53222">
      <w:t xml:space="preserve"> </w:t>
    </w:r>
    <w:r w:rsidR="00ED225C">
      <w:t>(</w:t>
    </w:r>
    <w:r w:rsidR="00A53222">
      <w:t>APA</w:t>
    </w:r>
    <w:r w:rsidR="00700CD2">
      <w:t>-</w:t>
    </w:r>
    <w:r w:rsidR="00A53222">
      <w:t>2</w:t>
    </w:r>
    <w:r>
      <w:t>2</w:t>
    </w:r>
    <w:r w:rsidR="00700CD2">
      <w:t>-</w:t>
    </w:r>
    <w:r w:rsidR="00A53222">
      <w:t>0</w:t>
    </w:r>
    <w:r w:rsidR="001555C5">
      <w:t>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37A7" w14:textId="77777777" w:rsidR="00646A69" w:rsidRDefault="00646A69">
      <w:r>
        <w:separator/>
      </w:r>
    </w:p>
  </w:footnote>
  <w:footnote w:type="continuationSeparator" w:id="0">
    <w:p w14:paraId="22123E4D" w14:textId="77777777" w:rsidR="00646A69" w:rsidRDefault="0064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2948"/>
    <w:multiLevelType w:val="hybridMultilevel"/>
    <w:tmpl w:val="C03E7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A7157"/>
    <w:multiLevelType w:val="hybridMultilevel"/>
    <w:tmpl w:val="D07C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4960BD"/>
    <w:multiLevelType w:val="hybridMultilevel"/>
    <w:tmpl w:val="1DE0A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D1591"/>
    <w:multiLevelType w:val="hybridMultilevel"/>
    <w:tmpl w:val="015C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2816A03"/>
    <w:multiLevelType w:val="hybridMultilevel"/>
    <w:tmpl w:val="8466D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D69C0"/>
    <w:multiLevelType w:val="hybridMultilevel"/>
    <w:tmpl w:val="7B6E8A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C201D3"/>
    <w:multiLevelType w:val="hybridMultilevel"/>
    <w:tmpl w:val="4AE4A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E7E7D"/>
    <w:multiLevelType w:val="hybridMultilevel"/>
    <w:tmpl w:val="4EFED5E2"/>
    <w:lvl w:ilvl="0" w:tplc="7D384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07086"/>
    <w:multiLevelType w:val="hybridMultilevel"/>
    <w:tmpl w:val="2494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17"/>
  </w:num>
  <w:num w:numId="2" w16cid:durableId="1439182185">
    <w:abstractNumId w:val="8"/>
  </w:num>
  <w:num w:numId="3" w16cid:durableId="184245771">
    <w:abstractNumId w:val="12"/>
  </w:num>
  <w:num w:numId="4" w16cid:durableId="516697040">
    <w:abstractNumId w:val="19"/>
  </w:num>
  <w:num w:numId="5" w16cid:durableId="1485778892">
    <w:abstractNumId w:val="22"/>
  </w:num>
  <w:num w:numId="6" w16cid:durableId="1938516423">
    <w:abstractNumId w:val="16"/>
  </w:num>
  <w:num w:numId="7" w16cid:durableId="1873611017">
    <w:abstractNumId w:val="21"/>
  </w:num>
  <w:num w:numId="8" w16cid:durableId="1283489295">
    <w:abstractNumId w:val="0"/>
  </w:num>
  <w:num w:numId="9" w16cid:durableId="819884624">
    <w:abstractNumId w:val="14"/>
  </w:num>
  <w:num w:numId="10" w16cid:durableId="872183866">
    <w:abstractNumId w:val="20"/>
  </w:num>
  <w:num w:numId="11" w16cid:durableId="1779636141">
    <w:abstractNumId w:val="9"/>
  </w:num>
  <w:num w:numId="12" w16cid:durableId="426734147">
    <w:abstractNumId w:val="3"/>
  </w:num>
  <w:num w:numId="13" w16cid:durableId="873732269">
    <w:abstractNumId w:val="13"/>
  </w:num>
  <w:num w:numId="14" w16cid:durableId="1901474970">
    <w:abstractNumId w:val="6"/>
  </w:num>
  <w:num w:numId="15" w16cid:durableId="60299063">
    <w:abstractNumId w:val="15"/>
  </w:num>
  <w:num w:numId="16" w16cid:durableId="1491868280">
    <w:abstractNumId w:val="5"/>
  </w:num>
  <w:num w:numId="17" w16cid:durableId="997928236">
    <w:abstractNumId w:val="10"/>
  </w:num>
  <w:num w:numId="18" w16cid:durableId="1582829969">
    <w:abstractNumId w:val="4"/>
  </w:num>
  <w:num w:numId="19" w16cid:durableId="968097795">
    <w:abstractNumId w:val="7"/>
  </w:num>
  <w:num w:numId="20" w16cid:durableId="1426462030">
    <w:abstractNumId w:val="1"/>
  </w:num>
  <w:num w:numId="21" w16cid:durableId="119805166">
    <w:abstractNumId w:val="11"/>
  </w:num>
  <w:num w:numId="22" w16cid:durableId="233592942">
    <w:abstractNumId w:val="18"/>
  </w:num>
  <w:num w:numId="23" w16cid:durableId="1443261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0254"/>
    <w:rsid w:val="00072B79"/>
    <w:rsid w:val="0007573F"/>
    <w:rsid w:val="000775DA"/>
    <w:rsid w:val="00080CB9"/>
    <w:rsid w:val="00083733"/>
    <w:rsid w:val="00083CEB"/>
    <w:rsid w:val="00085FA3"/>
    <w:rsid w:val="000A084C"/>
    <w:rsid w:val="000A6252"/>
    <w:rsid w:val="000A7472"/>
    <w:rsid w:val="000C6F15"/>
    <w:rsid w:val="000C7E47"/>
    <w:rsid w:val="000D3CCD"/>
    <w:rsid w:val="000E6CB3"/>
    <w:rsid w:val="000E6EB3"/>
    <w:rsid w:val="000F28E9"/>
    <w:rsid w:val="000F4209"/>
    <w:rsid w:val="000F6CD9"/>
    <w:rsid w:val="000F6CEF"/>
    <w:rsid w:val="000F6F0E"/>
    <w:rsid w:val="0010085A"/>
    <w:rsid w:val="00102903"/>
    <w:rsid w:val="001030A9"/>
    <w:rsid w:val="00107009"/>
    <w:rsid w:val="001100E8"/>
    <w:rsid w:val="00111A8B"/>
    <w:rsid w:val="0011207D"/>
    <w:rsid w:val="00121A09"/>
    <w:rsid w:val="00124470"/>
    <w:rsid w:val="00124596"/>
    <w:rsid w:val="00124746"/>
    <w:rsid w:val="001319F9"/>
    <w:rsid w:val="00136B0D"/>
    <w:rsid w:val="00141916"/>
    <w:rsid w:val="001426C3"/>
    <w:rsid w:val="0014513F"/>
    <w:rsid w:val="00146824"/>
    <w:rsid w:val="001472AD"/>
    <w:rsid w:val="00147823"/>
    <w:rsid w:val="00152028"/>
    <w:rsid w:val="001521E6"/>
    <w:rsid w:val="00152AEB"/>
    <w:rsid w:val="001547F6"/>
    <w:rsid w:val="001555C5"/>
    <w:rsid w:val="0015780B"/>
    <w:rsid w:val="00161F10"/>
    <w:rsid w:val="00162F61"/>
    <w:rsid w:val="00164868"/>
    <w:rsid w:val="0016631E"/>
    <w:rsid w:val="0017292F"/>
    <w:rsid w:val="0017466A"/>
    <w:rsid w:val="001816A6"/>
    <w:rsid w:val="00182E63"/>
    <w:rsid w:val="00185F26"/>
    <w:rsid w:val="001964C1"/>
    <w:rsid w:val="001A3E27"/>
    <w:rsid w:val="001B2D15"/>
    <w:rsid w:val="001B5780"/>
    <w:rsid w:val="001B60F9"/>
    <w:rsid w:val="001B719D"/>
    <w:rsid w:val="001C48C0"/>
    <w:rsid w:val="001C6571"/>
    <w:rsid w:val="001D2DC5"/>
    <w:rsid w:val="001D2E0F"/>
    <w:rsid w:val="001D7672"/>
    <w:rsid w:val="001E0243"/>
    <w:rsid w:val="001E496A"/>
    <w:rsid w:val="001F1F5A"/>
    <w:rsid w:val="001F5D33"/>
    <w:rsid w:val="001F76F3"/>
    <w:rsid w:val="00201396"/>
    <w:rsid w:val="002176AD"/>
    <w:rsid w:val="00220D28"/>
    <w:rsid w:val="00222E41"/>
    <w:rsid w:val="00230F31"/>
    <w:rsid w:val="00233F73"/>
    <w:rsid w:val="00236673"/>
    <w:rsid w:val="002418B8"/>
    <w:rsid w:val="002437EA"/>
    <w:rsid w:val="0024400C"/>
    <w:rsid w:val="0024490A"/>
    <w:rsid w:val="00244EF3"/>
    <w:rsid w:val="00250585"/>
    <w:rsid w:val="002542D4"/>
    <w:rsid w:val="00255685"/>
    <w:rsid w:val="00255FF0"/>
    <w:rsid w:val="00262652"/>
    <w:rsid w:val="00266BCD"/>
    <w:rsid w:val="0027117C"/>
    <w:rsid w:val="0027190F"/>
    <w:rsid w:val="002756BD"/>
    <w:rsid w:val="002819CB"/>
    <w:rsid w:val="00281F83"/>
    <w:rsid w:val="00283C03"/>
    <w:rsid w:val="0028583D"/>
    <w:rsid w:val="00291360"/>
    <w:rsid w:val="00292752"/>
    <w:rsid w:val="0029369A"/>
    <w:rsid w:val="0029544A"/>
    <w:rsid w:val="002A1B5A"/>
    <w:rsid w:val="002A1D5F"/>
    <w:rsid w:val="002B79A8"/>
    <w:rsid w:val="002B7C6D"/>
    <w:rsid w:val="002C1819"/>
    <w:rsid w:val="002C5C17"/>
    <w:rsid w:val="002C6138"/>
    <w:rsid w:val="002C7CF6"/>
    <w:rsid w:val="002D3C97"/>
    <w:rsid w:val="002D416F"/>
    <w:rsid w:val="002D722D"/>
    <w:rsid w:val="002E310C"/>
    <w:rsid w:val="002E3221"/>
    <w:rsid w:val="002E4DE0"/>
    <w:rsid w:val="002E5D70"/>
    <w:rsid w:val="002F5869"/>
    <w:rsid w:val="00301FD0"/>
    <w:rsid w:val="00303249"/>
    <w:rsid w:val="00304326"/>
    <w:rsid w:val="00304738"/>
    <w:rsid w:val="00307D56"/>
    <w:rsid w:val="003211E3"/>
    <w:rsid w:val="00322576"/>
    <w:rsid w:val="0032335B"/>
    <w:rsid w:val="00325DAD"/>
    <w:rsid w:val="00326C8B"/>
    <w:rsid w:val="00343CBA"/>
    <w:rsid w:val="00350044"/>
    <w:rsid w:val="00351B07"/>
    <w:rsid w:val="00360D79"/>
    <w:rsid w:val="00361886"/>
    <w:rsid w:val="00363622"/>
    <w:rsid w:val="003655F9"/>
    <w:rsid w:val="0037050F"/>
    <w:rsid w:val="0037153F"/>
    <w:rsid w:val="00374A85"/>
    <w:rsid w:val="0037663B"/>
    <w:rsid w:val="00381611"/>
    <w:rsid w:val="00381695"/>
    <w:rsid w:val="003821D5"/>
    <w:rsid w:val="003837C6"/>
    <w:rsid w:val="003838A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E7E2D"/>
    <w:rsid w:val="003F6517"/>
    <w:rsid w:val="003F7B84"/>
    <w:rsid w:val="0041044A"/>
    <w:rsid w:val="004129C5"/>
    <w:rsid w:val="004218B3"/>
    <w:rsid w:val="00421C26"/>
    <w:rsid w:val="0042234E"/>
    <w:rsid w:val="004235C5"/>
    <w:rsid w:val="00423EFA"/>
    <w:rsid w:val="0042747E"/>
    <w:rsid w:val="004317FD"/>
    <w:rsid w:val="0043604A"/>
    <w:rsid w:val="00440E04"/>
    <w:rsid w:val="004414BE"/>
    <w:rsid w:val="00442A2C"/>
    <w:rsid w:val="00446544"/>
    <w:rsid w:val="004536D9"/>
    <w:rsid w:val="00456754"/>
    <w:rsid w:val="0045700D"/>
    <w:rsid w:val="00460FCC"/>
    <w:rsid w:val="00463C7B"/>
    <w:rsid w:val="0046568F"/>
    <w:rsid w:val="004660F1"/>
    <w:rsid w:val="00471638"/>
    <w:rsid w:val="004832D4"/>
    <w:rsid w:val="00492198"/>
    <w:rsid w:val="004A0E5B"/>
    <w:rsid w:val="004A1513"/>
    <w:rsid w:val="004A1B5C"/>
    <w:rsid w:val="004A4A55"/>
    <w:rsid w:val="004A7EAE"/>
    <w:rsid w:val="004B16CC"/>
    <w:rsid w:val="004B20AC"/>
    <w:rsid w:val="004B2CFD"/>
    <w:rsid w:val="004D2DCA"/>
    <w:rsid w:val="004E0EE6"/>
    <w:rsid w:val="004E5D5B"/>
    <w:rsid w:val="004F0A7F"/>
    <w:rsid w:val="004F39AB"/>
    <w:rsid w:val="00501C04"/>
    <w:rsid w:val="00501F16"/>
    <w:rsid w:val="00504F12"/>
    <w:rsid w:val="00505760"/>
    <w:rsid w:val="00506D54"/>
    <w:rsid w:val="005118EC"/>
    <w:rsid w:val="00511F63"/>
    <w:rsid w:val="005206D2"/>
    <w:rsid w:val="00520708"/>
    <w:rsid w:val="00521DF2"/>
    <w:rsid w:val="0052253C"/>
    <w:rsid w:val="005305E6"/>
    <w:rsid w:val="0053142B"/>
    <w:rsid w:val="00532934"/>
    <w:rsid w:val="00540B2B"/>
    <w:rsid w:val="00544FB0"/>
    <w:rsid w:val="00550B1D"/>
    <w:rsid w:val="00551691"/>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7791"/>
    <w:rsid w:val="00620C68"/>
    <w:rsid w:val="00623249"/>
    <w:rsid w:val="00624CFB"/>
    <w:rsid w:val="006267F3"/>
    <w:rsid w:val="00627019"/>
    <w:rsid w:val="006271FC"/>
    <w:rsid w:val="0062784B"/>
    <w:rsid w:val="00636263"/>
    <w:rsid w:val="00642DC5"/>
    <w:rsid w:val="00646A69"/>
    <w:rsid w:val="00647692"/>
    <w:rsid w:val="0065210C"/>
    <w:rsid w:val="00653BCC"/>
    <w:rsid w:val="0065432F"/>
    <w:rsid w:val="006554B7"/>
    <w:rsid w:val="0066249E"/>
    <w:rsid w:val="00664C0B"/>
    <w:rsid w:val="006674C3"/>
    <w:rsid w:val="0066767B"/>
    <w:rsid w:val="00674A8C"/>
    <w:rsid w:val="00677D83"/>
    <w:rsid w:val="00680183"/>
    <w:rsid w:val="006870E2"/>
    <w:rsid w:val="006959DA"/>
    <w:rsid w:val="00697602"/>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167FD"/>
    <w:rsid w:val="007218E3"/>
    <w:rsid w:val="007235ED"/>
    <w:rsid w:val="00725085"/>
    <w:rsid w:val="007252C0"/>
    <w:rsid w:val="007320FC"/>
    <w:rsid w:val="00734534"/>
    <w:rsid w:val="00734830"/>
    <w:rsid w:val="0074107B"/>
    <w:rsid w:val="0075325A"/>
    <w:rsid w:val="00753E7D"/>
    <w:rsid w:val="007555A5"/>
    <w:rsid w:val="00756473"/>
    <w:rsid w:val="00765A98"/>
    <w:rsid w:val="007672E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5796"/>
    <w:rsid w:val="007B6040"/>
    <w:rsid w:val="007B6288"/>
    <w:rsid w:val="007B7AE8"/>
    <w:rsid w:val="007C0756"/>
    <w:rsid w:val="007C10FE"/>
    <w:rsid w:val="007C299B"/>
    <w:rsid w:val="007C47CB"/>
    <w:rsid w:val="007C6956"/>
    <w:rsid w:val="007C6DB4"/>
    <w:rsid w:val="007C7714"/>
    <w:rsid w:val="007D1447"/>
    <w:rsid w:val="007E468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172E"/>
    <w:rsid w:val="00835D15"/>
    <w:rsid w:val="008406F4"/>
    <w:rsid w:val="00841719"/>
    <w:rsid w:val="00842DA1"/>
    <w:rsid w:val="008462F4"/>
    <w:rsid w:val="008710DA"/>
    <w:rsid w:val="00880BC3"/>
    <w:rsid w:val="00883E9A"/>
    <w:rsid w:val="00890884"/>
    <w:rsid w:val="008973BD"/>
    <w:rsid w:val="008A5CA0"/>
    <w:rsid w:val="008A6087"/>
    <w:rsid w:val="008B54FF"/>
    <w:rsid w:val="008C4183"/>
    <w:rsid w:val="008D076B"/>
    <w:rsid w:val="008F460E"/>
    <w:rsid w:val="008F5DBA"/>
    <w:rsid w:val="009003E7"/>
    <w:rsid w:val="00902942"/>
    <w:rsid w:val="0090615E"/>
    <w:rsid w:val="009140C4"/>
    <w:rsid w:val="009300D0"/>
    <w:rsid w:val="00942830"/>
    <w:rsid w:val="00950288"/>
    <w:rsid w:val="00952AA9"/>
    <w:rsid w:val="009542E7"/>
    <w:rsid w:val="00960429"/>
    <w:rsid w:val="00961534"/>
    <w:rsid w:val="00962D3A"/>
    <w:rsid w:val="00965C2D"/>
    <w:rsid w:val="00967F92"/>
    <w:rsid w:val="00971CE7"/>
    <w:rsid w:val="00982B09"/>
    <w:rsid w:val="00982C6A"/>
    <w:rsid w:val="00982EED"/>
    <w:rsid w:val="00984E41"/>
    <w:rsid w:val="0098517A"/>
    <w:rsid w:val="00986E19"/>
    <w:rsid w:val="0099101B"/>
    <w:rsid w:val="009B085F"/>
    <w:rsid w:val="009B4B9F"/>
    <w:rsid w:val="009D060A"/>
    <w:rsid w:val="009E1CE9"/>
    <w:rsid w:val="009E6C5B"/>
    <w:rsid w:val="009E6CD7"/>
    <w:rsid w:val="009E77CF"/>
    <w:rsid w:val="009F6DF7"/>
    <w:rsid w:val="00A06D0C"/>
    <w:rsid w:val="00A15509"/>
    <w:rsid w:val="00A1713B"/>
    <w:rsid w:val="00A249E4"/>
    <w:rsid w:val="00A24AD9"/>
    <w:rsid w:val="00A303E5"/>
    <w:rsid w:val="00A30445"/>
    <w:rsid w:val="00A31D9B"/>
    <w:rsid w:val="00A37C27"/>
    <w:rsid w:val="00A40A0C"/>
    <w:rsid w:val="00A43EF5"/>
    <w:rsid w:val="00A44EE4"/>
    <w:rsid w:val="00A4699F"/>
    <w:rsid w:val="00A47749"/>
    <w:rsid w:val="00A47E46"/>
    <w:rsid w:val="00A5051B"/>
    <w:rsid w:val="00A519B8"/>
    <w:rsid w:val="00A53222"/>
    <w:rsid w:val="00A54A02"/>
    <w:rsid w:val="00A65493"/>
    <w:rsid w:val="00A6613C"/>
    <w:rsid w:val="00A67463"/>
    <w:rsid w:val="00A67538"/>
    <w:rsid w:val="00A6766A"/>
    <w:rsid w:val="00A7350D"/>
    <w:rsid w:val="00A768D1"/>
    <w:rsid w:val="00A85417"/>
    <w:rsid w:val="00A85FC6"/>
    <w:rsid w:val="00A864B4"/>
    <w:rsid w:val="00A8798E"/>
    <w:rsid w:val="00A96448"/>
    <w:rsid w:val="00AA25A4"/>
    <w:rsid w:val="00AB08D6"/>
    <w:rsid w:val="00AB3621"/>
    <w:rsid w:val="00AB71BE"/>
    <w:rsid w:val="00AC0599"/>
    <w:rsid w:val="00AC332F"/>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14880"/>
    <w:rsid w:val="00B15C88"/>
    <w:rsid w:val="00B30777"/>
    <w:rsid w:val="00B3310B"/>
    <w:rsid w:val="00B332A7"/>
    <w:rsid w:val="00B34E3F"/>
    <w:rsid w:val="00B45C62"/>
    <w:rsid w:val="00B472CF"/>
    <w:rsid w:val="00B55FED"/>
    <w:rsid w:val="00B56D88"/>
    <w:rsid w:val="00B57435"/>
    <w:rsid w:val="00B60F43"/>
    <w:rsid w:val="00B61ED1"/>
    <w:rsid w:val="00B624EB"/>
    <w:rsid w:val="00B66A25"/>
    <w:rsid w:val="00B70C9A"/>
    <w:rsid w:val="00B77119"/>
    <w:rsid w:val="00B871F1"/>
    <w:rsid w:val="00B87F88"/>
    <w:rsid w:val="00B90DDF"/>
    <w:rsid w:val="00B968A8"/>
    <w:rsid w:val="00BA0BDC"/>
    <w:rsid w:val="00BA4032"/>
    <w:rsid w:val="00BA6FF9"/>
    <w:rsid w:val="00BB010E"/>
    <w:rsid w:val="00BB2C51"/>
    <w:rsid w:val="00BB4531"/>
    <w:rsid w:val="00BB70F1"/>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7D50"/>
    <w:rsid w:val="00C63A6F"/>
    <w:rsid w:val="00C644FF"/>
    <w:rsid w:val="00C72FE2"/>
    <w:rsid w:val="00C731C8"/>
    <w:rsid w:val="00C75339"/>
    <w:rsid w:val="00C7590F"/>
    <w:rsid w:val="00C76A6F"/>
    <w:rsid w:val="00C87E98"/>
    <w:rsid w:val="00C917D7"/>
    <w:rsid w:val="00C928C1"/>
    <w:rsid w:val="00C9556D"/>
    <w:rsid w:val="00CA2B9D"/>
    <w:rsid w:val="00CA2D63"/>
    <w:rsid w:val="00CA5A46"/>
    <w:rsid w:val="00CC3E8E"/>
    <w:rsid w:val="00CC3F79"/>
    <w:rsid w:val="00CC468F"/>
    <w:rsid w:val="00CC6E3A"/>
    <w:rsid w:val="00CC7D84"/>
    <w:rsid w:val="00CD0276"/>
    <w:rsid w:val="00CD4D44"/>
    <w:rsid w:val="00CF1E00"/>
    <w:rsid w:val="00CF50B2"/>
    <w:rsid w:val="00D1203C"/>
    <w:rsid w:val="00D15771"/>
    <w:rsid w:val="00D16E17"/>
    <w:rsid w:val="00D2110F"/>
    <w:rsid w:val="00D460DB"/>
    <w:rsid w:val="00D4685B"/>
    <w:rsid w:val="00D474C0"/>
    <w:rsid w:val="00D47A96"/>
    <w:rsid w:val="00D47DC4"/>
    <w:rsid w:val="00D53670"/>
    <w:rsid w:val="00D55A80"/>
    <w:rsid w:val="00D66376"/>
    <w:rsid w:val="00D66D8D"/>
    <w:rsid w:val="00D735A0"/>
    <w:rsid w:val="00D83622"/>
    <w:rsid w:val="00D85513"/>
    <w:rsid w:val="00D863B3"/>
    <w:rsid w:val="00DA431C"/>
    <w:rsid w:val="00DB0195"/>
    <w:rsid w:val="00DB55EC"/>
    <w:rsid w:val="00DC635A"/>
    <w:rsid w:val="00DD6F5E"/>
    <w:rsid w:val="00DE09B0"/>
    <w:rsid w:val="00DE0BA6"/>
    <w:rsid w:val="00DE0E7D"/>
    <w:rsid w:val="00DE31B5"/>
    <w:rsid w:val="00DE3558"/>
    <w:rsid w:val="00DE56F8"/>
    <w:rsid w:val="00DE79A1"/>
    <w:rsid w:val="00E01B56"/>
    <w:rsid w:val="00E05E37"/>
    <w:rsid w:val="00E10AF4"/>
    <w:rsid w:val="00E1100D"/>
    <w:rsid w:val="00E1320F"/>
    <w:rsid w:val="00E1453B"/>
    <w:rsid w:val="00E25075"/>
    <w:rsid w:val="00E317AC"/>
    <w:rsid w:val="00E332CD"/>
    <w:rsid w:val="00E347FD"/>
    <w:rsid w:val="00E34E86"/>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7768A"/>
    <w:rsid w:val="00E80353"/>
    <w:rsid w:val="00E8211D"/>
    <w:rsid w:val="00E82F2A"/>
    <w:rsid w:val="00E86EC2"/>
    <w:rsid w:val="00E873B6"/>
    <w:rsid w:val="00E879D8"/>
    <w:rsid w:val="00E94610"/>
    <w:rsid w:val="00E946A1"/>
    <w:rsid w:val="00E95E41"/>
    <w:rsid w:val="00E9665F"/>
    <w:rsid w:val="00E9714D"/>
    <w:rsid w:val="00EA0A79"/>
    <w:rsid w:val="00EA0E32"/>
    <w:rsid w:val="00EA3D47"/>
    <w:rsid w:val="00EB0007"/>
    <w:rsid w:val="00EB0B5D"/>
    <w:rsid w:val="00EC22ED"/>
    <w:rsid w:val="00EC25BF"/>
    <w:rsid w:val="00EC499C"/>
    <w:rsid w:val="00EC553B"/>
    <w:rsid w:val="00EC7231"/>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25CF6"/>
    <w:rsid w:val="00F338A2"/>
    <w:rsid w:val="00F34DB3"/>
    <w:rsid w:val="00F37A72"/>
    <w:rsid w:val="00F40AD3"/>
    <w:rsid w:val="00F451E7"/>
    <w:rsid w:val="00F45B78"/>
    <w:rsid w:val="00F465C2"/>
    <w:rsid w:val="00F53722"/>
    <w:rsid w:val="00F54981"/>
    <w:rsid w:val="00F551D4"/>
    <w:rsid w:val="00F651B6"/>
    <w:rsid w:val="00F6593A"/>
    <w:rsid w:val="00F65E27"/>
    <w:rsid w:val="00F72010"/>
    <w:rsid w:val="00F72391"/>
    <w:rsid w:val="00F807FD"/>
    <w:rsid w:val="00F83D17"/>
    <w:rsid w:val="00F8658B"/>
    <w:rsid w:val="00F86687"/>
    <w:rsid w:val="00F86C9F"/>
    <w:rsid w:val="00FA0C52"/>
    <w:rsid w:val="00FA3BFF"/>
    <w:rsid w:val="00FB4E3B"/>
    <w:rsid w:val="00FC2CD1"/>
    <w:rsid w:val="00FD15AB"/>
    <w:rsid w:val="00FE4A08"/>
    <w:rsid w:val="00FE7986"/>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B1488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267F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6267F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6267F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6267F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6267F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6267F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267F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267F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267F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B148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880"/>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6267F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6267F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6267F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6267F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6267F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6267F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6267F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267F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6267F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6267F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267F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6267F3"/>
    <w:rPr>
      <w:i/>
      <w:iCs/>
    </w:rPr>
  </w:style>
  <w:style w:type="character" w:styleId="Strong">
    <w:name w:val="Strong"/>
    <w:basedOn w:val="DefaultParagraphFont"/>
    <w:uiPriority w:val="22"/>
    <w:qFormat/>
    <w:rsid w:val="006267F3"/>
    <w:rPr>
      <w:b/>
      <w:bCs/>
    </w:rPr>
  </w:style>
  <w:style w:type="character" w:styleId="IntenseEmphasis">
    <w:name w:val="Intense Emphasis"/>
    <w:basedOn w:val="DefaultParagraphFont"/>
    <w:uiPriority w:val="21"/>
    <w:qFormat/>
    <w:rsid w:val="006267F3"/>
    <w:rPr>
      <w:b/>
      <w:bCs/>
      <w:i/>
      <w:iCs/>
    </w:rPr>
  </w:style>
  <w:style w:type="paragraph" w:styleId="Quote">
    <w:name w:val="Quote"/>
    <w:basedOn w:val="Normal"/>
    <w:next w:val="Normal"/>
    <w:link w:val="QuoteChar"/>
    <w:uiPriority w:val="29"/>
    <w:qFormat/>
    <w:rsid w:val="006267F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267F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6267F3"/>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6267F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267F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6267F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6267F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6267F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6267F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6267F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267F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6267F3"/>
    <w:rPr>
      <w:smallCaps/>
      <w:color w:val="595959" w:themeColor="text1" w:themeTint="A6"/>
    </w:rPr>
  </w:style>
  <w:style w:type="character" w:styleId="BookTitle">
    <w:name w:val="Book Title"/>
    <w:basedOn w:val="DefaultParagraphFont"/>
    <w:uiPriority w:val="33"/>
    <w:qFormat/>
    <w:rsid w:val="006267F3"/>
    <w:rPr>
      <w:b/>
      <w:bCs/>
      <w:caps w:val="0"/>
      <w:smallCaps/>
      <w:spacing w:val="7"/>
      <w:sz w:val="21"/>
      <w:szCs w:val="21"/>
    </w:rPr>
  </w:style>
  <w:style w:type="paragraph" w:styleId="TOCHeading">
    <w:name w:val="TOC Heading"/>
    <w:basedOn w:val="Heading1"/>
    <w:next w:val="Normal"/>
    <w:uiPriority w:val="39"/>
    <w:semiHidden/>
    <w:unhideWhenUsed/>
    <w:qFormat/>
    <w:rsid w:val="006267F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14319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4582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2</cp:revision>
  <cp:lastPrinted>2018-01-16T20:45:00Z</cp:lastPrinted>
  <dcterms:created xsi:type="dcterms:W3CDTF">2022-09-26T16:58:00Z</dcterms:created>
  <dcterms:modified xsi:type="dcterms:W3CDTF">2022-09-26T16:58:00Z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