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BF89C" w14:textId="796556A4" w:rsidR="00717711" w:rsidRDefault="00717711" w:rsidP="008C67A0">
      <w:pPr>
        <w:spacing w:after="120"/>
        <w:jc w:val="center"/>
        <w:rPr>
          <w:b/>
          <w:szCs w:val="24"/>
        </w:rPr>
      </w:pPr>
      <w:r>
        <w:rPr>
          <w:b/>
          <w:szCs w:val="24"/>
        </w:rPr>
        <w:t xml:space="preserve">AMENDMENT </w:t>
      </w:r>
      <w:r w:rsidR="00102B6E">
        <w:rPr>
          <w:b/>
          <w:szCs w:val="24"/>
        </w:rPr>
        <w:t xml:space="preserve">No. </w:t>
      </w:r>
      <w:r w:rsidR="00E5121E">
        <w:rPr>
          <w:b/>
          <w:szCs w:val="24"/>
        </w:rPr>
        <w:t>4</w:t>
      </w:r>
    </w:p>
    <w:p w14:paraId="7B5D77E6" w14:textId="77777777" w:rsidR="008C67A0" w:rsidRDefault="00717711" w:rsidP="008C67A0">
      <w:pPr>
        <w:spacing w:after="120"/>
        <w:jc w:val="center"/>
        <w:rPr>
          <w:b/>
          <w:szCs w:val="24"/>
        </w:rPr>
      </w:pPr>
      <w:r>
        <w:rPr>
          <w:b/>
          <w:szCs w:val="24"/>
        </w:rPr>
        <w:t>to that certain</w:t>
      </w:r>
    </w:p>
    <w:p w14:paraId="4BCD9CE1" w14:textId="3BEA8306" w:rsidR="00717711" w:rsidRDefault="00306F65" w:rsidP="008C67A0">
      <w:pPr>
        <w:spacing w:after="120"/>
        <w:jc w:val="center"/>
        <w:rPr>
          <w:b/>
          <w:szCs w:val="24"/>
        </w:rPr>
      </w:pPr>
      <w:r>
        <w:rPr>
          <w:b/>
          <w:szCs w:val="24"/>
        </w:rPr>
        <w:t>POWER PURCHASE AGREEMENT</w:t>
      </w:r>
    </w:p>
    <w:p w14:paraId="2A0833FD" w14:textId="77777777" w:rsidR="00717711" w:rsidRDefault="00717711" w:rsidP="008C67A0">
      <w:pPr>
        <w:spacing w:after="120"/>
        <w:jc w:val="center"/>
        <w:rPr>
          <w:b/>
          <w:szCs w:val="24"/>
        </w:rPr>
      </w:pPr>
      <w:r>
        <w:rPr>
          <w:b/>
          <w:szCs w:val="24"/>
        </w:rPr>
        <w:t>Between</w:t>
      </w:r>
    </w:p>
    <w:p w14:paraId="17BF38FE" w14:textId="3FB3ECC7" w:rsidR="00717711" w:rsidRDefault="006E37F1" w:rsidP="008C67A0">
      <w:pPr>
        <w:spacing w:after="120"/>
        <w:jc w:val="center"/>
        <w:rPr>
          <w:b/>
          <w:szCs w:val="24"/>
        </w:rPr>
      </w:pPr>
      <w:r>
        <w:rPr>
          <w:b/>
          <w:szCs w:val="24"/>
        </w:rPr>
        <w:t>Siskiyou Power Authority</w:t>
      </w:r>
    </w:p>
    <w:p w14:paraId="1DFA3813" w14:textId="77777777" w:rsidR="00717711" w:rsidRDefault="00717711" w:rsidP="008C67A0">
      <w:pPr>
        <w:spacing w:after="120"/>
        <w:jc w:val="center"/>
        <w:rPr>
          <w:b/>
          <w:szCs w:val="24"/>
        </w:rPr>
      </w:pPr>
      <w:r>
        <w:rPr>
          <w:b/>
          <w:szCs w:val="24"/>
        </w:rPr>
        <w:t>And</w:t>
      </w:r>
    </w:p>
    <w:p w14:paraId="2345F58A" w14:textId="77777777" w:rsidR="00717711" w:rsidRDefault="00306F65" w:rsidP="008C67A0">
      <w:pPr>
        <w:spacing w:after="120"/>
        <w:jc w:val="center"/>
        <w:rPr>
          <w:b/>
          <w:szCs w:val="24"/>
        </w:rPr>
      </w:pPr>
      <w:r>
        <w:rPr>
          <w:b/>
          <w:szCs w:val="24"/>
        </w:rPr>
        <w:t>PacifiCorp</w:t>
      </w:r>
    </w:p>
    <w:p w14:paraId="4DE9714B" w14:textId="77777777" w:rsidR="00717711" w:rsidRPr="00E82CD7" w:rsidRDefault="00717711" w:rsidP="008C67A0">
      <w:pPr>
        <w:spacing w:after="120"/>
        <w:jc w:val="center"/>
        <w:rPr>
          <w:b/>
          <w:szCs w:val="24"/>
        </w:rPr>
      </w:pPr>
    </w:p>
    <w:p w14:paraId="3FC03105" w14:textId="513C7EC9" w:rsidR="007C6866" w:rsidRDefault="00717711" w:rsidP="007C6866">
      <w:pPr>
        <w:autoSpaceDE w:val="0"/>
        <w:autoSpaceDN w:val="0"/>
        <w:adjustRightInd w:val="0"/>
        <w:spacing w:after="120"/>
        <w:ind w:firstLine="720"/>
        <w:rPr>
          <w:rFonts w:eastAsia="Calibri"/>
          <w:szCs w:val="24"/>
        </w:rPr>
      </w:pPr>
      <w:r>
        <w:rPr>
          <w:rFonts w:eastAsia="Calibri"/>
          <w:szCs w:val="24"/>
        </w:rPr>
        <w:t xml:space="preserve">This AMENDMENT </w:t>
      </w:r>
      <w:r w:rsidR="007552EA">
        <w:rPr>
          <w:rFonts w:eastAsia="Calibri"/>
          <w:szCs w:val="24"/>
        </w:rPr>
        <w:t xml:space="preserve">No. </w:t>
      </w:r>
      <w:r w:rsidR="00E5121E">
        <w:rPr>
          <w:rFonts w:eastAsia="Calibri"/>
          <w:szCs w:val="24"/>
        </w:rPr>
        <w:t>4</w:t>
      </w:r>
      <w:r w:rsidR="00DE5E31">
        <w:rPr>
          <w:rFonts w:eastAsia="Calibri"/>
          <w:szCs w:val="24"/>
        </w:rPr>
        <w:t xml:space="preserve"> </w:t>
      </w:r>
      <w:r w:rsidR="00C25AF2">
        <w:rPr>
          <w:rFonts w:eastAsia="Calibri"/>
          <w:szCs w:val="24"/>
        </w:rPr>
        <w:t>(“</w:t>
      </w:r>
      <w:r w:rsidR="00C25AF2" w:rsidRPr="00DE5E31">
        <w:rPr>
          <w:rFonts w:eastAsia="Calibri"/>
          <w:b/>
          <w:bCs/>
          <w:szCs w:val="24"/>
        </w:rPr>
        <w:t xml:space="preserve">Amendment No. </w:t>
      </w:r>
      <w:r w:rsidR="00E5121E">
        <w:rPr>
          <w:rFonts w:eastAsia="Calibri"/>
          <w:b/>
          <w:bCs/>
          <w:szCs w:val="24"/>
        </w:rPr>
        <w:t>4</w:t>
      </w:r>
      <w:r w:rsidR="00C25AF2">
        <w:rPr>
          <w:rFonts w:eastAsia="Calibri"/>
          <w:szCs w:val="24"/>
        </w:rPr>
        <w:t>”)</w:t>
      </w:r>
      <w:r w:rsidR="007552EA">
        <w:rPr>
          <w:rFonts w:eastAsia="Calibri"/>
          <w:szCs w:val="24"/>
        </w:rPr>
        <w:t xml:space="preserve">, </w:t>
      </w:r>
      <w:r w:rsidR="00B14BA2">
        <w:rPr>
          <w:rFonts w:eastAsia="Calibri"/>
          <w:szCs w:val="24"/>
        </w:rPr>
        <w:t xml:space="preserve">effective </w:t>
      </w:r>
      <w:r w:rsidR="006E37F1">
        <w:rPr>
          <w:rFonts w:eastAsia="Calibri"/>
          <w:szCs w:val="24"/>
        </w:rPr>
        <w:t>January 1,</w:t>
      </w:r>
      <w:r w:rsidR="007C30E3">
        <w:rPr>
          <w:rFonts w:eastAsia="Calibri"/>
          <w:szCs w:val="24"/>
        </w:rPr>
        <w:t xml:space="preserve"> </w:t>
      </w:r>
      <w:r w:rsidR="00E5121E">
        <w:rPr>
          <w:rFonts w:eastAsia="Calibri"/>
          <w:szCs w:val="24"/>
        </w:rPr>
        <w:t>2023</w:t>
      </w:r>
      <w:r w:rsidR="00B14BA2">
        <w:rPr>
          <w:rFonts w:eastAsia="Calibri"/>
          <w:szCs w:val="24"/>
        </w:rPr>
        <w:t>,</w:t>
      </w:r>
      <w:r>
        <w:rPr>
          <w:rFonts w:eastAsia="Calibri"/>
          <w:szCs w:val="24"/>
        </w:rPr>
        <w:t xml:space="preserve"> amends that certain </w:t>
      </w:r>
      <w:r w:rsidR="00306F65">
        <w:rPr>
          <w:rFonts w:eastAsia="Calibri"/>
          <w:szCs w:val="24"/>
        </w:rPr>
        <w:t>POWER PURCHASE AGREEMENT</w:t>
      </w:r>
      <w:r w:rsidR="007C6866">
        <w:rPr>
          <w:rFonts w:eastAsia="Calibri"/>
          <w:szCs w:val="24"/>
        </w:rPr>
        <w:t xml:space="preserve"> </w:t>
      </w:r>
      <w:r>
        <w:rPr>
          <w:rFonts w:eastAsia="Calibri"/>
          <w:szCs w:val="24"/>
        </w:rPr>
        <w:t>between PacifiCorp, an Oregon corporation (“</w:t>
      </w:r>
      <w:r w:rsidRPr="00B154CA">
        <w:rPr>
          <w:rFonts w:eastAsia="Calibri"/>
          <w:b/>
          <w:szCs w:val="24"/>
        </w:rPr>
        <w:t>PacifiCorp</w:t>
      </w:r>
      <w:r>
        <w:rPr>
          <w:rFonts w:eastAsia="Calibri"/>
          <w:szCs w:val="24"/>
        </w:rPr>
        <w:t>”)</w:t>
      </w:r>
      <w:r w:rsidR="00306F65">
        <w:rPr>
          <w:rFonts w:eastAsia="Calibri"/>
          <w:szCs w:val="24"/>
        </w:rPr>
        <w:t>,</w:t>
      </w:r>
      <w:r>
        <w:rPr>
          <w:rFonts w:eastAsia="Calibri"/>
          <w:szCs w:val="24"/>
        </w:rPr>
        <w:t xml:space="preserve"> and </w:t>
      </w:r>
      <w:r w:rsidR="007552EA">
        <w:rPr>
          <w:rFonts w:eastAsia="Calibri"/>
          <w:szCs w:val="24"/>
        </w:rPr>
        <w:t xml:space="preserve">Siskiyou </w:t>
      </w:r>
      <w:r w:rsidR="006E37F1">
        <w:rPr>
          <w:rFonts w:eastAsia="Calibri"/>
          <w:szCs w:val="24"/>
        </w:rPr>
        <w:t>Power Authority (“</w:t>
      </w:r>
      <w:r w:rsidR="006E37F1" w:rsidRPr="00DE5E31">
        <w:rPr>
          <w:rFonts w:eastAsia="Calibri"/>
          <w:b/>
          <w:bCs/>
          <w:szCs w:val="24"/>
        </w:rPr>
        <w:t>Seller</w:t>
      </w:r>
      <w:r w:rsidR="006E37F1">
        <w:rPr>
          <w:rFonts w:eastAsia="Calibri"/>
          <w:szCs w:val="24"/>
        </w:rPr>
        <w:t xml:space="preserve">”), </w:t>
      </w:r>
      <w:r w:rsidR="00B57107">
        <w:rPr>
          <w:rFonts w:eastAsia="Calibri"/>
          <w:szCs w:val="24"/>
        </w:rPr>
        <w:t xml:space="preserve"> dated March 14, 1983, </w:t>
      </w:r>
      <w:r w:rsidR="00B14BA2">
        <w:rPr>
          <w:rFonts w:eastAsia="Calibri"/>
          <w:szCs w:val="24"/>
        </w:rPr>
        <w:t xml:space="preserve">as amended </w:t>
      </w:r>
      <w:r w:rsidR="00845782">
        <w:rPr>
          <w:rFonts w:eastAsia="Calibri"/>
          <w:szCs w:val="24"/>
        </w:rPr>
        <w:t xml:space="preserve">by </w:t>
      </w:r>
      <w:r w:rsidR="00B14BA2">
        <w:rPr>
          <w:rFonts w:eastAsia="Calibri"/>
          <w:szCs w:val="24"/>
        </w:rPr>
        <w:t xml:space="preserve"> </w:t>
      </w:r>
      <w:r w:rsidR="00C7667A">
        <w:rPr>
          <w:rFonts w:eastAsia="Calibri"/>
          <w:szCs w:val="24"/>
        </w:rPr>
        <w:t>(</w:t>
      </w:r>
      <w:proofErr w:type="spellStart"/>
      <w:r w:rsidR="00C7667A">
        <w:rPr>
          <w:rFonts w:eastAsia="Calibri"/>
          <w:szCs w:val="24"/>
        </w:rPr>
        <w:t>i</w:t>
      </w:r>
      <w:proofErr w:type="spellEnd"/>
      <w:r w:rsidR="00C7667A">
        <w:rPr>
          <w:rFonts w:eastAsia="Calibri"/>
          <w:szCs w:val="24"/>
        </w:rPr>
        <w:t xml:space="preserve">) </w:t>
      </w:r>
      <w:r w:rsidR="00845782">
        <w:rPr>
          <w:rFonts w:eastAsia="Calibri"/>
          <w:szCs w:val="24"/>
        </w:rPr>
        <w:t>that certain</w:t>
      </w:r>
      <w:r w:rsidR="00F91271">
        <w:rPr>
          <w:color w:val="000000"/>
        </w:rPr>
        <w:t xml:space="preserve"> Letter Agreement dated January 12, 1987</w:t>
      </w:r>
      <w:r w:rsidR="006E37F1">
        <w:rPr>
          <w:color w:val="000000"/>
        </w:rPr>
        <w:t>,</w:t>
      </w:r>
      <w:r w:rsidR="00B57107">
        <w:rPr>
          <w:color w:val="000000"/>
        </w:rPr>
        <w:t xml:space="preserve"> </w:t>
      </w:r>
      <w:r w:rsidR="00B57107">
        <w:rPr>
          <w:rFonts w:eastAsia="Calibri"/>
          <w:szCs w:val="24"/>
        </w:rPr>
        <w:t>(ii) that certain Amendment No. 1 dated December 26, 1990,</w:t>
      </w:r>
      <w:r w:rsidR="006E37F1" w:rsidRPr="006E37F1">
        <w:t xml:space="preserve"> </w:t>
      </w:r>
      <w:r w:rsidR="00E5121E">
        <w:t>(iii) that certain Amendment No. 2 dated December 8, 2020 (“</w:t>
      </w:r>
      <w:r w:rsidR="00E5121E" w:rsidRPr="00DE5E31">
        <w:rPr>
          <w:b/>
          <w:bCs/>
        </w:rPr>
        <w:t>Amendment No. 2</w:t>
      </w:r>
      <w:r w:rsidR="00E5121E">
        <w:t xml:space="preserve">”) </w:t>
      </w:r>
      <w:r w:rsidR="00835F64">
        <w:t xml:space="preserve">and </w:t>
      </w:r>
      <w:r w:rsidR="00C7667A">
        <w:t>(i</w:t>
      </w:r>
      <w:r w:rsidR="00E5121E">
        <w:t>v</w:t>
      </w:r>
      <w:r w:rsidR="00C7667A">
        <w:t xml:space="preserve">) </w:t>
      </w:r>
      <w:r w:rsidR="00B57107">
        <w:t xml:space="preserve">that certain </w:t>
      </w:r>
      <w:r w:rsidR="00835F64">
        <w:t xml:space="preserve">Amendment No. </w:t>
      </w:r>
      <w:r w:rsidR="00E5121E">
        <w:t xml:space="preserve">3 </w:t>
      </w:r>
      <w:r w:rsidR="00835F64">
        <w:t xml:space="preserve">dated December </w:t>
      </w:r>
      <w:r w:rsidR="00E5121E">
        <w:t>7</w:t>
      </w:r>
      <w:r w:rsidR="00835F64">
        <w:t xml:space="preserve">, </w:t>
      </w:r>
      <w:r w:rsidR="00E5121E">
        <w:t xml:space="preserve">2021 </w:t>
      </w:r>
      <w:r w:rsidR="00835F64">
        <w:t>(“</w:t>
      </w:r>
      <w:r w:rsidR="00835F64" w:rsidRPr="00DE5E31">
        <w:rPr>
          <w:b/>
          <w:bCs/>
        </w:rPr>
        <w:t xml:space="preserve">Amendment No. </w:t>
      </w:r>
      <w:r w:rsidR="00E5121E">
        <w:rPr>
          <w:b/>
          <w:bCs/>
        </w:rPr>
        <w:t>3</w:t>
      </w:r>
      <w:r w:rsidR="00835F64">
        <w:t xml:space="preserve">”) </w:t>
      </w:r>
      <w:r w:rsidR="00C7667A">
        <w:rPr>
          <w:rFonts w:eastAsia="Calibri"/>
          <w:szCs w:val="24"/>
        </w:rPr>
        <w:t xml:space="preserve">(as </w:t>
      </w:r>
      <w:r w:rsidR="00B57107">
        <w:rPr>
          <w:rFonts w:eastAsia="Calibri"/>
          <w:szCs w:val="24"/>
        </w:rPr>
        <w:t xml:space="preserve">so </w:t>
      </w:r>
      <w:r w:rsidR="00C7667A">
        <w:rPr>
          <w:rFonts w:eastAsia="Calibri"/>
          <w:szCs w:val="24"/>
        </w:rPr>
        <w:t xml:space="preserve">amended and </w:t>
      </w:r>
      <w:r w:rsidR="00B57107">
        <w:rPr>
          <w:rFonts w:eastAsia="Calibri"/>
          <w:szCs w:val="24"/>
        </w:rPr>
        <w:t>as may be further amended and modified</w:t>
      </w:r>
      <w:r w:rsidR="00C7667A">
        <w:rPr>
          <w:rFonts w:eastAsia="Calibri"/>
          <w:szCs w:val="24"/>
        </w:rPr>
        <w:t xml:space="preserve"> from time to time, the “</w:t>
      </w:r>
      <w:r w:rsidR="00C7667A" w:rsidRPr="007C6866">
        <w:rPr>
          <w:rFonts w:eastAsia="Calibri"/>
          <w:b/>
          <w:szCs w:val="24"/>
        </w:rPr>
        <w:t>PPA</w:t>
      </w:r>
      <w:r w:rsidR="00C7667A">
        <w:rPr>
          <w:rFonts w:eastAsia="Calibri"/>
          <w:szCs w:val="24"/>
        </w:rPr>
        <w:t>”)</w:t>
      </w:r>
      <w:r>
        <w:rPr>
          <w:rFonts w:eastAsia="Calibri"/>
          <w:szCs w:val="24"/>
        </w:rPr>
        <w:t xml:space="preserve">.  </w:t>
      </w:r>
      <w:r w:rsidR="00F960A6">
        <w:rPr>
          <w:rFonts w:eastAsia="Calibri"/>
          <w:szCs w:val="24"/>
        </w:rPr>
        <w:t xml:space="preserve">Seller </w:t>
      </w:r>
      <w:r w:rsidR="007C6866" w:rsidRPr="00611CC3">
        <w:rPr>
          <w:color w:val="000000"/>
        </w:rPr>
        <w:t xml:space="preserve">and PacifiCorp are referred to individually </w:t>
      </w:r>
      <w:r w:rsidR="007C6866">
        <w:rPr>
          <w:color w:val="000000"/>
        </w:rPr>
        <w:t xml:space="preserve">in this </w:t>
      </w:r>
      <w:r w:rsidR="007552EA">
        <w:rPr>
          <w:color w:val="000000"/>
        </w:rPr>
        <w:t xml:space="preserve">Amendment No. </w:t>
      </w:r>
      <w:r w:rsidR="00E5121E">
        <w:rPr>
          <w:color w:val="000000"/>
        </w:rPr>
        <w:t xml:space="preserve">4 </w:t>
      </w:r>
      <w:r w:rsidR="007C6866" w:rsidRPr="00611CC3">
        <w:rPr>
          <w:color w:val="000000"/>
        </w:rPr>
        <w:t>as a “</w:t>
      </w:r>
      <w:r w:rsidR="007C6866" w:rsidRPr="00611CC3">
        <w:rPr>
          <w:b/>
          <w:color w:val="000000"/>
        </w:rPr>
        <w:t>Party</w:t>
      </w:r>
      <w:r w:rsidR="007C6866" w:rsidRPr="00611CC3">
        <w:rPr>
          <w:color w:val="000000"/>
        </w:rPr>
        <w:t xml:space="preserve">” </w:t>
      </w:r>
      <w:r w:rsidR="007C6866">
        <w:rPr>
          <w:color w:val="000000"/>
        </w:rPr>
        <w:t>and</w:t>
      </w:r>
      <w:r w:rsidR="007C6866" w:rsidRPr="00611CC3">
        <w:rPr>
          <w:color w:val="000000"/>
        </w:rPr>
        <w:t xml:space="preserve"> collectively as the “</w:t>
      </w:r>
      <w:r w:rsidR="007C6866" w:rsidRPr="00611CC3">
        <w:rPr>
          <w:b/>
          <w:color w:val="000000"/>
        </w:rPr>
        <w:t>Parties</w:t>
      </w:r>
      <w:r w:rsidR="007C6866" w:rsidRPr="007C6866">
        <w:rPr>
          <w:color w:val="000000"/>
        </w:rPr>
        <w:t>.</w:t>
      </w:r>
      <w:r w:rsidR="007C6866" w:rsidRPr="00611CC3">
        <w:rPr>
          <w:color w:val="000000"/>
        </w:rPr>
        <w:t>”</w:t>
      </w:r>
    </w:p>
    <w:p w14:paraId="749461D6" w14:textId="77777777" w:rsidR="007C6866" w:rsidRDefault="007C6866" w:rsidP="007C6866">
      <w:pPr>
        <w:autoSpaceDE w:val="0"/>
        <w:autoSpaceDN w:val="0"/>
        <w:adjustRightInd w:val="0"/>
        <w:spacing w:after="120"/>
        <w:ind w:firstLine="720"/>
        <w:rPr>
          <w:rFonts w:eastAsia="Calibri"/>
          <w:szCs w:val="24"/>
        </w:rPr>
      </w:pPr>
    </w:p>
    <w:p w14:paraId="3F250236" w14:textId="77777777" w:rsidR="007C6866" w:rsidRPr="00611CC3" w:rsidRDefault="007C6866" w:rsidP="007C6866">
      <w:pPr>
        <w:spacing w:line="240" w:lineRule="atLeast"/>
        <w:jc w:val="center"/>
        <w:rPr>
          <w:b/>
          <w:color w:val="000000"/>
        </w:rPr>
      </w:pPr>
      <w:r w:rsidRPr="00611CC3">
        <w:rPr>
          <w:b/>
          <w:color w:val="000000"/>
          <w:u w:val="single"/>
        </w:rPr>
        <w:t>RECITALS</w:t>
      </w:r>
    </w:p>
    <w:p w14:paraId="09D2A3D1" w14:textId="77777777" w:rsidR="007C6866" w:rsidRPr="00611CC3" w:rsidRDefault="007C6866" w:rsidP="007C6866">
      <w:pPr>
        <w:spacing w:line="240" w:lineRule="atLeast"/>
        <w:ind w:left="280"/>
        <w:rPr>
          <w:color w:val="000000"/>
        </w:rPr>
      </w:pPr>
    </w:p>
    <w:p w14:paraId="7C5507D4" w14:textId="77777777" w:rsidR="00E3204F" w:rsidRPr="00E3204F" w:rsidRDefault="00E3204F" w:rsidP="00E3204F">
      <w:pPr>
        <w:pStyle w:val="ListParagraph"/>
        <w:spacing w:line="240" w:lineRule="atLeast"/>
        <w:ind w:left="1440"/>
        <w:rPr>
          <w:color w:val="000000"/>
        </w:rPr>
      </w:pPr>
    </w:p>
    <w:p w14:paraId="70E3465D" w14:textId="6454B3FD" w:rsidR="007C6866" w:rsidRPr="00DE5E31" w:rsidRDefault="007C6866" w:rsidP="00DE5E31">
      <w:pPr>
        <w:pStyle w:val="ListParagraph"/>
        <w:numPr>
          <w:ilvl w:val="0"/>
          <w:numId w:val="6"/>
        </w:numPr>
        <w:spacing w:line="240" w:lineRule="atLeast"/>
        <w:ind w:left="0" w:firstLine="720"/>
        <w:rPr>
          <w:color w:val="000000"/>
        </w:rPr>
      </w:pPr>
      <w:r w:rsidRPr="00DE5E31">
        <w:rPr>
          <w:color w:val="000000"/>
        </w:rPr>
        <w:t xml:space="preserve">Seller owns, operates and maintains a </w:t>
      </w:r>
      <w:r w:rsidR="00EA31F7" w:rsidRPr="00DE5E31">
        <w:rPr>
          <w:color w:val="000000"/>
        </w:rPr>
        <w:t xml:space="preserve">5,000 kilowatt (kW) </w:t>
      </w:r>
      <w:r w:rsidRPr="00DE5E31">
        <w:rPr>
          <w:color w:val="000000"/>
        </w:rPr>
        <w:t>hydroelectric facility for the generation of electric power</w:t>
      </w:r>
      <w:r w:rsidR="00EA31F7" w:rsidRPr="00DE5E31">
        <w:rPr>
          <w:color w:val="000000"/>
        </w:rPr>
        <w:t xml:space="preserve"> at the Box Canyon Dam on the Sacramento River, near Mt. Shasta, California (Facility); and </w:t>
      </w:r>
      <w:r w:rsidRPr="00DE5E31">
        <w:rPr>
          <w:color w:val="000000"/>
        </w:rPr>
        <w:t xml:space="preserve"> </w:t>
      </w:r>
    </w:p>
    <w:p w14:paraId="5A0F5BE3" w14:textId="77777777" w:rsidR="007C6866" w:rsidRPr="00611CC3" w:rsidRDefault="007C6866" w:rsidP="007C6866">
      <w:pPr>
        <w:spacing w:line="240" w:lineRule="atLeast"/>
        <w:rPr>
          <w:color w:val="000000"/>
        </w:rPr>
      </w:pPr>
    </w:p>
    <w:p w14:paraId="7F5C5DC0" w14:textId="18D8B7BE" w:rsidR="007C6866" w:rsidRPr="00611CC3" w:rsidRDefault="007C6866" w:rsidP="007C6866">
      <w:pPr>
        <w:spacing w:line="240" w:lineRule="atLeast"/>
        <w:rPr>
          <w:color w:val="000000"/>
        </w:rPr>
      </w:pPr>
      <w:r>
        <w:rPr>
          <w:color w:val="000000"/>
        </w:rPr>
        <w:tab/>
        <w:t>B.</w:t>
      </w:r>
      <w:r>
        <w:rPr>
          <w:color w:val="000000"/>
        </w:rPr>
        <w:tab/>
      </w:r>
      <w:r w:rsidR="008B6751">
        <w:rPr>
          <w:color w:val="000000"/>
        </w:rPr>
        <w:t>T</w:t>
      </w:r>
      <w:r w:rsidRPr="00611CC3">
        <w:rPr>
          <w:color w:val="000000"/>
        </w:rPr>
        <w:t xml:space="preserve">he </w:t>
      </w:r>
      <w:r>
        <w:rPr>
          <w:color w:val="000000"/>
        </w:rPr>
        <w:t>PPA</w:t>
      </w:r>
      <w:r w:rsidR="00B57107">
        <w:rPr>
          <w:color w:val="000000"/>
        </w:rPr>
        <w:t xml:space="preserve"> </w:t>
      </w:r>
      <w:r>
        <w:rPr>
          <w:color w:val="000000"/>
        </w:rPr>
        <w:t>expires by its terms</w:t>
      </w:r>
      <w:r w:rsidRPr="00611CC3">
        <w:rPr>
          <w:color w:val="000000"/>
        </w:rPr>
        <w:t xml:space="preserve"> on </w:t>
      </w:r>
      <w:r w:rsidR="000818DD">
        <w:rPr>
          <w:color w:val="000000"/>
        </w:rPr>
        <w:t>December 31,</w:t>
      </w:r>
      <w:r>
        <w:rPr>
          <w:color w:val="000000"/>
        </w:rPr>
        <w:t xml:space="preserve"> 20</w:t>
      </w:r>
      <w:r w:rsidR="00B14BA2">
        <w:rPr>
          <w:color w:val="000000"/>
        </w:rPr>
        <w:t>2</w:t>
      </w:r>
      <w:r w:rsidR="00E5121E">
        <w:rPr>
          <w:color w:val="000000"/>
        </w:rPr>
        <w:t>2</w:t>
      </w:r>
      <w:r>
        <w:rPr>
          <w:color w:val="000000"/>
        </w:rPr>
        <w:t>;</w:t>
      </w:r>
      <w:r w:rsidR="00AB0A4C">
        <w:rPr>
          <w:color w:val="000000"/>
        </w:rPr>
        <w:t xml:space="preserve"> and</w:t>
      </w:r>
    </w:p>
    <w:p w14:paraId="1585971F" w14:textId="77777777" w:rsidR="007C6866" w:rsidRPr="00611CC3" w:rsidRDefault="007C6866" w:rsidP="007C6866">
      <w:pPr>
        <w:spacing w:line="240" w:lineRule="atLeast"/>
        <w:rPr>
          <w:color w:val="000000"/>
        </w:rPr>
      </w:pPr>
    </w:p>
    <w:p w14:paraId="41034A37" w14:textId="4D0DBBE1" w:rsidR="007C6866" w:rsidRPr="00611CC3" w:rsidRDefault="007C6866" w:rsidP="007C6866">
      <w:pPr>
        <w:spacing w:line="240" w:lineRule="atLeast"/>
        <w:rPr>
          <w:color w:val="000000"/>
        </w:rPr>
      </w:pPr>
      <w:r w:rsidRPr="00611CC3">
        <w:rPr>
          <w:color w:val="000000"/>
        </w:rPr>
        <w:tab/>
      </w:r>
      <w:r>
        <w:rPr>
          <w:color w:val="000000"/>
        </w:rPr>
        <w:t>C</w:t>
      </w:r>
      <w:r w:rsidRPr="00611CC3">
        <w:rPr>
          <w:color w:val="000000"/>
        </w:rPr>
        <w:t>.</w:t>
      </w:r>
      <w:r w:rsidRPr="00611CC3">
        <w:rPr>
          <w:color w:val="000000"/>
        </w:rPr>
        <w:tab/>
        <w:t>Seller intends to continue to operate the Facility as a Qualifying Facility</w:t>
      </w:r>
      <w:r>
        <w:rPr>
          <w:color w:val="000000"/>
        </w:rPr>
        <w:t xml:space="preserve"> past </w:t>
      </w:r>
      <w:r w:rsidR="000818DD">
        <w:rPr>
          <w:color w:val="000000"/>
        </w:rPr>
        <w:t xml:space="preserve">December 31, </w:t>
      </w:r>
      <w:r>
        <w:rPr>
          <w:color w:val="000000"/>
        </w:rPr>
        <w:t>20</w:t>
      </w:r>
      <w:r w:rsidR="00B14BA2">
        <w:rPr>
          <w:color w:val="000000"/>
        </w:rPr>
        <w:t>2</w:t>
      </w:r>
      <w:r w:rsidR="00E5121E">
        <w:rPr>
          <w:color w:val="000000"/>
        </w:rPr>
        <w:t>2</w:t>
      </w:r>
      <w:r w:rsidRPr="00611CC3">
        <w:rPr>
          <w:color w:val="000000"/>
        </w:rPr>
        <w:t xml:space="preserve">, </w:t>
      </w:r>
      <w:r>
        <w:rPr>
          <w:color w:val="000000"/>
        </w:rPr>
        <w:t xml:space="preserve">and has requested to </w:t>
      </w:r>
      <w:r w:rsidR="00B14BA2">
        <w:rPr>
          <w:color w:val="000000"/>
        </w:rPr>
        <w:t xml:space="preserve">further </w:t>
      </w:r>
      <w:r>
        <w:rPr>
          <w:color w:val="000000"/>
        </w:rPr>
        <w:t>extend the term of the PPA</w:t>
      </w:r>
      <w:r>
        <w:t>; and</w:t>
      </w:r>
    </w:p>
    <w:p w14:paraId="36430489" w14:textId="77777777" w:rsidR="007C6866" w:rsidRPr="00611CC3" w:rsidRDefault="007C6866" w:rsidP="007C6866">
      <w:pPr>
        <w:spacing w:line="240" w:lineRule="atLeast"/>
        <w:rPr>
          <w:color w:val="000000"/>
        </w:rPr>
      </w:pPr>
    </w:p>
    <w:p w14:paraId="4411CC78" w14:textId="0EF336FB" w:rsidR="007C6866" w:rsidRPr="00611CC3" w:rsidRDefault="007C6866" w:rsidP="007C6866">
      <w:pPr>
        <w:spacing w:line="240" w:lineRule="atLeast"/>
      </w:pPr>
      <w:r w:rsidRPr="00611CC3">
        <w:tab/>
      </w:r>
      <w:r>
        <w:t>D</w:t>
      </w:r>
      <w:r w:rsidRPr="00611CC3">
        <w:t>.</w:t>
      </w:r>
      <w:r w:rsidRPr="00611CC3">
        <w:tab/>
      </w:r>
      <w:r>
        <w:t xml:space="preserve">PacifiCorp has agreed to </w:t>
      </w:r>
      <w:r w:rsidR="00B14BA2">
        <w:t xml:space="preserve">further </w:t>
      </w:r>
      <w:r>
        <w:t>extend the term of the PPA.</w:t>
      </w:r>
    </w:p>
    <w:p w14:paraId="249D3C74" w14:textId="0F0D1965" w:rsidR="007C6866" w:rsidRDefault="007C6866" w:rsidP="007C6866">
      <w:pPr>
        <w:spacing w:line="240" w:lineRule="atLeast"/>
        <w:rPr>
          <w:rFonts w:eastAsia="Calibri"/>
          <w:szCs w:val="24"/>
        </w:rPr>
      </w:pPr>
    </w:p>
    <w:p w14:paraId="4B25708C" w14:textId="0476E0BC" w:rsidR="007C6866" w:rsidRPr="007C6866" w:rsidRDefault="007C6866" w:rsidP="007C6866">
      <w:pPr>
        <w:autoSpaceDE w:val="0"/>
        <w:autoSpaceDN w:val="0"/>
        <w:adjustRightInd w:val="0"/>
        <w:spacing w:after="120"/>
        <w:jc w:val="center"/>
        <w:rPr>
          <w:rFonts w:eastAsia="Calibri"/>
          <w:b/>
          <w:szCs w:val="24"/>
          <w:u w:val="single"/>
        </w:rPr>
      </w:pPr>
      <w:r w:rsidRPr="007C6866">
        <w:rPr>
          <w:rFonts w:eastAsia="Calibri"/>
          <w:b/>
          <w:szCs w:val="24"/>
          <w:u w:val="single"/>
        </w:rPr>
        <w:t>A</w:t>
      </w:r>
      <w:r>
        <w:rPr>
          <w:rFonts w:eastAsia="Calibri"/>
          <w:b/>
          <w:szCs w:val="24"/>
          <w:u w:val="single"/>
        </w:rPr>
        <w:t>GREEMENT</w:t>
      </w:r>
    </w:p>
    <w:p w14:paraId="5C2D37ED" w14:textId="62CAE9F2" w:rsidR="008C67A0" w:rsidRDefault="00717711" w:rsidP="008C67A0">
      <w:pPr>
        <w:autoSpaceDE w:val="0"/>
        <w:autoSpaceDN w:val="0"/>
        <w:adjustRightInd w:val="0"/>
        <w:spacing w:after="120"/>
        <w:ind w:firstLine="720"/>
        <w:rPr>
          <w:rFonts w:eastAsia="Calibri"/>
          <w:szCs w:val="24"/>
        </w:rPr>
      </w:pPr>
      <w:r>
        <w:rPr>
          <w:rFonts w:eastAsia="Calibri"/>
          <w:szCs w:val="24"/>
        </w:rPr>
        <w:t xml:space="preserve">PacifiCorp and </w:t>
      </w:r>
      <w:r w:rsidR="00306F65">
        <w:rPr>
          <w:rFonts w:eastAsia="Calibri"/>
          <w:szCs w:val="24"/>
        </w:rPr>
        <w:t xml:space="preserve">Seller agree to </w:t>
      </w:r>
      <w:r>
        <w:rPr>
          <w:rFonts w:eastAsia="Calibri"/>
          <w:szCs w:val="24"/>
        </w:rPr>
        <w:t>the following:</w:t>
      </w:r>
    </w:p>
    <w:p w14:paraId="4B75F599" w14:textId="47DB06D4" w:rsidR="00F6338D" w:rsidRDefault="00F6338D" w:rsidP="00B57107">
      <w:pPr>
        <w:pStyle w:val="ListParagraph"/>
        <w:numPr>
          <w:ilvl w:val="0"/>
          <w:numId w:val="1"/>
        </w:numPr>
        <w:ind w:left="0" w:firstLine="720"/>
        <w:rPr>
          <w:rFonts w:eastAsia="Calibri"/>
        </w:rPr>
      </w:pPr>
      <w:r w:rsidRPr="00AC63FE">
        <w:rPr>
          <w:rFonts w:eastAsia="Calibri"/>
          <w:b/>
        </w:rPr>
        <w:t>Article II</w:t>
      </w:r>
      <w:r w:rsidR="00306F65">
        <w:rPr>
          <w:rFonts w:eastAsia="Calibri"/>
        </w:rPr>
        <w:t xml:space="preserve"> of t</w:t>
      </w:r>
      <w:r w:rsidR="00717711">
        <w:rPr>
          <w:rFonts w:eastAsia="Calibri"/>
        </w:rPr>
        <w:t xml:space="preserve">he </w:t>
      </w:r>
      <w:r w:rsidR="005949C5">
        <w:rPr>
          <w:rFonts w:eastAsia="Calibri"/>
        </w:rPr>
        <w:t>PPA</w:t>
      </w:r>
      <w:r w:rsidR="00212DF0">
        <w:rPr>
          <w:rFonts w:eastAsia="Calibri"/>
        </w:rPr>
        <w:t>, entitled “Term”,</w:t>
      </w:r>
      <w:r w:rsidR="00717711">
        <w:rPr>
          <w:rFonts w:eastAsia="Calibri"/>
        </w:rPr>
        <w:t xml:space="preserve"> is </w:t>
      </w:r>
      <w:r w:rsidR="00B57107">
        <w:rPr>
          <w:rFonts w:eastAsia="Calibri"/>
        </w:rPr>
        <w:t>deleted</w:t>
      </w:r>
      <w:r w:rsidR="00212DF0">
        <w:rPr>
          <w:rFonts w:eastAsia="Calibri"/>
        </w:rPr>
        <w:t xml:space="preserve"> </w:t>
      </w:r>
      <w:r>
        <w:rPr>
          <w:rFonts w:eastAsia="Calibri"/>
        </w:rPr>
        <w:t>in its entirety and replaced with the following provision:</w:t>
      </w:r>
    </w:p>
    <w:p w14:paraId="55D32F30" w14:textId="77777777" w:rsidR="00B57107" w:rsidRPr="00DE5E31" w:rsidRDefault="00B57107" w:rsidP="00DE5E31">
      <w:pPr>
        <w:rPr>
          <w:rFonts w:eastAsia="Calibri"/>
        </w:rPr>
      </w:pPr>
    </w:p>
    <w:p w14:paraId="772F7861" w14:textId="0D8712A3" w:rsidR="00717711" w:rsidRDefault="00F6338D" w:rsidP="00AC63FE">
      <w:pPr>
        <w:pStyle w:val="00BodyText1"/>
        <w:ind w:left="1440" w:right="360" w:firstLine="0"/>
        <w:jc w:val="both"/>
        <w:rPr>
          <w:rFonts w:eastAsia="Calibri" w:cs="Times New Roman"/>
        </w:rPr>
      </w:pPr>
      <w:r>
        <w:rPr>
          <w:rFonts w:eastAsia="Calibri" w:cs="Times New Roman"/>
        </w:rPr>
        <w:t xml:space="preserve">“Subject to the provisions of Article XXIII, this Agreement shall become effective when executed by both the parties </w:t>
      </w:r>
      <w:r w:rsidR="00E57E37">
        <w:rPr>
          <w:rFonts w:eastAsia="Calibri" w:cs="Times New Roman"/>
        </w:rPr>
        <w:t>hereto and</w:t>
      </w:r>
      <w:r>
        <w:rPr>
          <w:rFonts w:eastAsia="Calibri" w:cs="Times New Roman"/>
        </w:rPr>
        <w:t xml:space="preserve"> shall e</w:t>
      </w:r>
      <w:r w:rsidR="00AC63FE">
        <w:rPr>
          <w:rFonts w:eastAsia="Calibri" w:cs="Times New Roman"/>
        </w:rPr>
        <w:t>xpire</w:t>
      </w:r>
      <w:r>
        <w:rPr>
          <w:rFonts w:eastAsia="Calibri" w:cs="Times New Roman"/>
        </w:rPr>
        <w:t xml:space="preserve"> on</w:t>
      </w:r>
      <w:r w:rsidR="00AC63FE">
        <w:rPr>
          <w:rFonts w:eastAsia="Calibri" w:cs="Times New Roman"/>
        </w:rPr>
        <w:t xml:space="preserve"> the earlier to occur of (</w:t>
      </w:r>
      <w:proofErr w:type="spellStart"/>
      <w:r w:rsidR="00AC63FE">
        <w:rPr>
          <w:rFonts w:eastAsia="Calibri" w:cs="Times New Roman"/>
        </w:rPr>
        <w:t>i</w:t>
      </w:r>
      <w:proofErr w:type="spellEnd"/>
      <w:r w:rsidR="00AC63FE">
        <w:rPr>
          <w:rFonts w:eastAsia="Calibri" w:cs="Times New Roman"/>
        </w:rPr>
        <w:t>) the date</w:t>
      </w:r>
      <w:r>
        <w:rPr>
          <w:rFonts w:eastAsia="Calibri" w:cs="Times New Roman"/>
        </w:rPr>
        <w:t xml:space="preserve"> </w:t>
      </w:r>
      <w:r w:rsidR="00AC63FE">
        <w:rPr>
          <w:rFonts w:eastAsia="Calibri" w:cs="Times New Roman"/>
        </w:rPr>
        <w:t xml:space="preserve">on which the parties enter into a new qualifying facility </w:t>
      </w:r>
      <w:r w:rsidR="00AC63FE">
        <w:rPr>
          <w:rFonts w:eastAsia="Calibri" w:cs="Times New Roman"/>
        </w:rPr>
        <w:lastRenderedPageBreak/>
        <w:t xml:space="preserve">power purchase agreement with respect to the purchase by Seller of the Net Metered Output of the Facility or (ii) </w:t>
      </w:r>
      <w:r>
        <w:rPr>
          <w:rFonts w:eastAsia="Calibri" w:cs="Times New Roman"/>
        </w:rPr>
        <w:t xml:space="preserve">December 31, </w:t>
      </w:r>
      <w:r w:rsidR="00E5121E">
        <w:rPr>
          <w:rFonts w:eastAsia="Calibri" w:cs="Times New Roman"/>
        </w:rPr>
        <w:t>2023</w:t>
      </w:r>
      <w:r>
        <w:rPr>
          <w:rFonts w:eastAsia="Calibri" w:cs="Times New Roman"/>
        </w:rPr>
        <w:t>.”</w:t>
      </w:r>
      <w:r w:rsidR="00782B6D">
        <w:rPr>
          <w:rFonts w:eastAsia="Calibri" w:cs="Times New Roman"/>
        </w:rPr>
        <w:t xml:space="preserve"> </w:t>
      </w:r>
    </w:p>
    <w:p w14:paraId="0210EEE4" w14:textId="7C4B7A2E" w:rsidR="00F6338D" w:rsidRDefault="00C25AF2" w:rsidP="00B57107">
      <w:pPr>
        <w:pStyle w:val="ListParagraph"/>
        <w:numPr>
          <w:ilvl w:val="0"/>
          <w:numId w:val="1"/>
        </w:numPr>
        <w:ind w:left="0" w:firstLine="720"/>
        <w:rPr>
          <w:rFonts w:eastAsia="Calibri"/>
        </w:rPr>
      </w:pPr>
      <w:r w:rsidRPr="00DE5E31">
        <w:rPr>
          <w:rFonts w:eastAsia="Calibri"/>
          <w:bCs/>
        </w:rPr>
        <w:t>The last two sentences of</w:t>
      </w:r>
      <w:r>
        <w:rPr>
          <w:rFonts w:eastAsia="Calibri"/>
          <w:b/>
        </w:rPr>
        <w:t xml:space="preserve"> </w:t>
      </w:r>
      <w:r w:rsidR="005A0035" w:rsidRPr="00F6338D">
        <w:rPr>
          <w:rFonts w:eastAsia="Calibri"/>
          <w:b/>
        </w:rPr>
        <w:t>Article III</w:t>
      </w:r>
      <w:r w:rsidR="00F24607">
        <w:rPr>
          <w:rFonts w:eastAsia="Calibri"/>
          <w:b/>
        </w:rPr>
        <w:t xml:space="preserve">, Section </w:t>
      </w:r>
      <w:r w:rsidR="005A0035" w:rsidRPr="00F6338D">
        <w:rPr>
          <w:rFonts w:eastAsia="Calibri"/>
          <w:b/>
        </w:rPr>
        <w:t>(</w:t>
      </w:r>
      <w:r w:rsidR="00F6338D">
        <w:rPr>
          <w:rFonts w:eastAsia="Calibri"/>
          <w:b/>
        </w:rPr>
        <w:t>B</w:t>
      </w:r>
      <w:r w:rsidR="00845782" w:rsidRPr="00845782">
        <w:rPr>
          <w:rFonts w:eastAsia="Calibri"/>
          <w:b/>
        </w:rPr>
        <w:t>)</w:t>
      </w:r>
      <w:r w:rsidR="00845782" w:rsidRPr="00AC63FE">
        <w:rPr>
          <w:rFonts w:eastAsia="Calibri"/>
          <w:b/>
        </w:rPr>
        <w:t>(3)</w:t>
      </w:r>
      <w:r w:rsidR="00845782">
        <w:rPr>
          <w:rFonts w:eastAsia="Calibri"/>
        </w:rPr>
        <w:t xml:space="preserve"> </w:t>
      </w:r>
      <w:r w:rsidR="00321EC8" w:rsidRPr="00F6338D">
        <w:rPr>
          <w:rFonts w:eastAsia="Calibri"/>
        </w:rPr>
        <w:t>of the PPA</w:t>
      </w:r>
      <w:r w:rsidR="00B57107">
        <w:rPr>
          <w:rFonts w:eastAsia="Calibri"/>
        </w:rPr>
        <w:t xml:space="preserve"> </w:t>
      </w:r>
      <w:r>
        <w:rPr>
          <w:rFonts w:eastAsia="Calibri"/>
        </w:rPr>
        <w:t xml:space="preserve">are deleted in their entirety and replaced with </w:t>
      </w:r>
      <w:r w:rsidR="00F6338D">
        <w:rPr>
          <w:rFonts w:eastAsia="Calibri"/>
        </w:rPr>
        <w:t>the following provision:</w:t>
      </w:r>
    </w:p>
    <w:p w14:paraId="471811DD" w14:textId="77777777" w:rsidR="00B57107" w:rsidRDefault="00B57107" w:rsidP="00DE5E31">
      <w:pPr>
        <w:pStyle w:val="ListParagraph"/>
        <w:rPr>
          <w:rFonts w:eastAsia="Calibri"/>
        </w:rPr>
      </w:pPr>
    </w:p>
    <w:p w14:paraId="4BAD7737" w14:textId="438CC961" w:rsidR="005A0035" w:rsidRDefault="00F6338D" w:rsidP="00E07E9C">
      <w:pPr>
        <w:pStyle w:val="00BodyText1"/>
        <w:ind w:left="1440" w:right="720" w:firstLine="0"/>
        <w:jc w:val="both"/>
        <w:rPr>
          <w:rFonts w:eastAsia="Calibri" w:cs="Times New Roman"/>
        </w:rPr>
      </w:pPr>
      <w:r>
        <w:rPr>
          <w:rFonts w:eastAsia="Calibri" w:cs="Times New Roman"/>
        </w:rPr>
        <w:t>“</w:t>
      </w:r>
      <w:r w:rsidR="00845782">
        <w:rPr>
          <w:rFonts w:eastAsia="Calibri" w:cs="Times New Roman"/>
        </w:rPr>
        <w:t>T</w:t>
      </w:r>
      <w:r w:rsidR="005A0035" w:rsidRPr="00F6338D">
        <w:rPr>
          <w:rFonts w:eastAsia="Calibri" w:cs="Times New Roman"/>
        </w:rPr>
        <w:t xml:space="preserve">he amount of Base Metered Net Output required for each month of the Contract Year </w:t>
      </w:r>
      <w:r w:rsidR="00E5121E">
        <w:rPr>
          <w:rFonts w:eastAsia="Calibri" w:cs="Times New Roman"/>
        </w:rPr>
        <w:t xml:space="preserve">2023 </w:t>
      </w:r>
      <w:r w:rsidR="005A0035" w:rsidRPr="00F6338D">
        <w:rPr>
          <w:rFonts w:eastAsia="Calibri" w:cs="Times New Roman"/>
        </w:rPr>
        <w:t xml:space="preserve">shall be 700,000 kilowatt-hours (kWh).  If the actual Termination Date is before December 31, </w:t>
      </w:r>
      <w:r w:rsidR="00E5121E" w:rsidRPr="00F6338D">
        <w:rPr>
          <w:rFonts w:eastAsia="Calibri" w:cs="Times New Roman"/>
        </w:rPr>
        <w:t>202</w:t>
      </w:r>
      <w:r w:rsidR="00E5121E">
        <w:rPr>
          <w:rFonts w:eastAsia="Calibri" w:cs="Times New Roman"/>
        </w:rPr>
        <w:t>3</w:t>
      </w:r>
      <w:r w:rsidR="005A0035" w:rsidRPr="00F6338D">
        <w:rPr>
          <w:rFonts w:eastAsia="Calibri" w:cs="Times New Roman"/>
        </w:rPr>
        <w:t xml:space="preserve">, the Base Metered Net Output amount for this PPA shall be zero for the remaining months or partial months of Contract Year </w:t>
      </w:r>
      <w:r w:rsidR="00E5121E" w:rsidRPr="00F6338D">
        <w:rPr>
          <w:rFonts w:eastAsia="Calibri" w:cs="Times New Roman"/>
        </w:rPr>
        <w:t>202</w:t>
      </w:r>
      <w:r w:rsidR="00E5121E">
        <w:rPr>
          <w:rFonts w:eastAsia="Calibri" w:cs="Times New Roman"/>
        </w:rPr>
        <w:t>3</w:t>
      </w:r>
      <w:r w:rsidR="005A0035" w:rsidRPr="00F6338D">
        <w:rPr>
          <w:rFonts w:eastAsia="Calibri" w:cs="Times New Roman"/>
        </w:rPr>
        <w:t>.</w:t>
      </w:r>
      <w:r w:rsidR="00845782">
        <w:rPr>
          <w:rFonts w:eastAsia="Calibri" w:cs="Times New Roman"/>
        </w:rPr>
        <w:t>”</w:t>
      </w:r>
    </w:p>
    <w:p w14:paraId="6A15272D" w14:textId="55656C00" w:rsidR="00845782" w:rsidRDefault="00845782" w:rsidP="00B57107">
      <w:pPr>
        <w:pStyle w:val="ListParagraph"/>
        <w:numPr>
          <w:ilvl w:val="0"/>
          <w:numId w:val="1"/>
        </w:numPr>
        <w:ind w:left="0" w:firstLine="720"/>
        <w:rPr>
          <w:rFonts w:eastAsia="Calibri"/>
        </w:rPr>
      </w:pPr>
      <w:r w:rsidRPr="00321EC8">
        <w:rPr>
          <w:rFonts w:eastAsia="Calibri"/>
          <w:b/>
        </w:rPr>
        <w:t>Article III</w:t>
      </w:r>
      <w:r w:rsidR="00F24607">
        <w:rPr>
          <w:rFonts w:eastAsia="Calibri"/>
          <w:b/>
        </w:rPr>
        <w:t xml:space="preserve">, Section </w:t>
      </w:r>
      <w:r w:rsidRPr="00321EC8">
        <w:rPr>
          <w:rFonts w:eastAsia="Calibri"/>
          <w:b/>
        </w:rPr>
        <w:t>(B)</w:t>
      </w:r>
      <w:r w:rsidR="00C25AF2">
        <w:rPr>
          <w:rFonts w:eastAsia="Calibri"/>
          <w:b/>
        </w:rPr>
        <w:t>(5)</w:t>
      </w:r>
      <w:r>
        <w:rPr>
          <w:rFonts w:eastAsia="Calibri"/>
        </w:rPr>
        <w:t xml:space="preserve"> of the PPA</w:t>
      </w:r>
      <w:r w:rsidR="00C25AF2">
        <w:rPr>
          <w:rFonts w:eastAsia="Calibri"/>
        </w:rPr>
        <w:t xml:space="preserve"> is deleted in its entirety and replaced with the </w:t>
      </w:r>
      <w:r>
        <w:rPr>
          <w:rFonts w:eastAsia="Calibri"/>
        </w:rPr>
        <w:t xml:space="preserve">following provision: </w:t>
      </w:r>
    </w:p>
    <w:p w14:paraId="157C91FA" w14:textId="77777777" w:rsidR="00B57107" w:rsidRDefault="00B57107" w:rsidP="00DE5E31">
      <w:pPr>
        <w:pStyle w:val="ListParagraph"/>
        <w:rPr>
          <w:rFonts w:eastAsia="Calibri"/>
        </w:rPr>
      </w:pPr>
    </w:p>
    <w:p w14:paraId="488CEC2C" w14:textId="7475C684" w:rsidR="00845782" w:rsidRDefault="00845782" w:rsidP="00E07E9C">
      <w:pPr>
        <w:pStyle w:val="00BodyText1"/>
        <w:ind w:left="1440" w:right="720" w:firstLine="0"/>
        <w:jc w:val="both"/>
        <w:rPr>
          <w:rFonts w:eastAsia="Calibri" w:cs="Times New Roman"/>
        </w:rPr>
      </w:pPr>
      <w:r>
        <w:rPr>
          <w:rFonts w:eastAsia="Calibri" w:cs="Times New Roman"/>
        </w:rPr>
        <w:t xml:space="preserve">“(5) Seller shall pay PacifiCorp not later than 60 days following the Termination Date, for any Deficiency Energy which has not been delivered to PacifiCorp, or for which Seller has not paid PacifiCorp, at the price shown in Attachment A of Amendment No. </w:t>
      </w:r>
      <w:r w:rsidR="00E5121E">
        <w:rPr>
          <w:rFonts w:eastAsia="Calibri" w:cs="Times New Roman"/>
        </w:rPr>
        <w:t xml:space="preserve">4 </w:t>
      </w:r>
      <w:r w:rsidR="00B57107">
        <w:rPr>
          <w:rFonts w:eastAsia="Calibri" w:cs="Times New Roman"/>
        </w:rPr>
        <w:t>to this PPA</w:t>
      </w:r>
      <w:r>
        <w:rPr>
          <w:rFonts w:eastAsia="Calibri" w:cs="Times New Roman"/>
        </w:rPr>
        <w:t xml:space="preserve">. </w:t>
      </w:r>
    </w:p>
    <w:p w14:paraId="3647A3BC" w14:textId="7E03C9E6" w:rsidR="00F6338D" w:rsidRDefault="00F6338D" w:rsidP="00B57107">
      <w:pPr>
        <w:pStyle w:val="ListParagraph"/>
        <w:numPr>
          <w:ilvl w:val="0"/>
          <w:numId w:val="1"/>
        </w:numPr>
        <w:ind w:left="0" w:firstLine="720"/>
        <w:rPr>
          <w:rFonts w:eastAsia="Calibri"/>
        </w:rPr>
      </w:pPr>
      <w:r w:rsidRPr="00845782">
        <w:rPr>
          <w:rFonts w:eastAsia="Calibri"/>
        </w:rPr>
        <w:t xml:space="preserve">For </w:t>
      </w:r>
      <w:r w:rsidR="00845782">
        <w:rPr>
          <w:rFonts w:eastAsia="Calibri"/>
        </w:rPr>
        <w:t>Contract Year 202</w:t>
      </w:r>
      <w:r w:rsidR="00E5121E">
        <w:rPr>
          <w:rFonts w:eastAsia="Calibri"/>
        </w:rPr>
        <w:t>3</w:t>
      </w:r>
      <w:r w:rsidR="00845782">
        <w:rPr>
          <w:rFonts w:eastAsia="Calibri"/>
        </w:rPr>
        <w:t xml:space="preserve">, </w:t>
      </w:r>
      <w:r w:rsidRPr="00845782">
        <w:rPr>
          <w:rFonts w:eastAsia="Calibri"/>
        </w:rPr>
        <w:t xml:space="preserve">PacifiCorp shall pay Seller the applicable On-Peak and Off-Peak rates specified in </w:t>
      </w:r>
      <w:r w:rsidRPr="00845782">
        <w:rPr>
          <w:rFonts w:eastAsia="Calibri"/>
          <w:b/>
        </w:rPr>
        <w:t>Attachment A</w:t>
      </w:r>
      <w:r w:rsidRPr="00845782">
        <w:rPr>
          <w:rFonts w:eastAsia="Calibri"/>
        </w:rPr>
        <w:t xml:space="preserve"> of this Amendment No. </w:t>
      </w:r>
      <w:r w:rsidR="00E5121E">
        <w:rPr>
          <w:rFonts w:eastAsia="Calibri"/>
        </w:rPr>
        <w:t>4</w:t>
      </w:r>
      <w:r w:rsidR="00E5121E" w:rsidRPr="00845782">
        <w:rPr>
          <w:rFonts w:eastAsia="Calibri"/>
        </w:rPr>
        <w:t xml:space="preserve"> </w:t>
      </w:r>
      <w:r w:rsidRPr="00845782">
        <w:rPr>
          <w:rFonts w:eastAsia="Calibri"/>
        </w:rPr>
        <w:t xml:space="preserve">which shall, as of January 1, </w:t>
      </w:r>
      <w:r w:rsidR="00E5121E" w:rsidRPr="00845782">
        <w:rPr>
          <w:rFonts w:eastAsia="Calibri"/>
        </w:rPr>
        <w:t>202</w:t>
      </w:r>
      <w:r w:rsidR="00E5121E">
        <w:rPr>
          <w:rFonts w:eastAsia="Calibri"/>
        </w:rPr>
        <w:t>3</w:t>
      </w:r>
      <w:r w:rsidRPr="00845782">
        <w:rPr>
          <w:rFonts w:eastAsia="Calibri"/>
        </w:rPr>
        <w:t xml:space="preserve">, replace the Capacity Prices and Energy Prices specified in </w:t>
      </w:r>
      <w:r w:rsidR="00C25AF2" w:rsidRPr="00DE5E31">
        <w:rPr>
          <w:rFonts w:eastAsia="Calibri"/>
          <w:b/>
        </w:rPr>
        <w:t>A</w:t>
      </w:r>
      <w:r w:rsidRPr="00C25AF2">
        <w:rPr>
          <w:rFonts w:eastAsia="Calibri"/>
          <w:b/>
        </w:rPr>
        <w:t>rticle</w:t>
      </w:r>
      <w:r w:rsidRPr="00DE5E31">
        <w:rPr>
          <w:rFonts w:eastAsia="Calibri"/>
          <w:bCs/>
        </w:rPr>
        <w:t xml:space="preserve"> </w:t>
      </w:r>
      <w:r w:rsidRPr="00845782">
        <w:rPr>
          <w:rFonts w:eastAsia="Calibri"/>
          <w:b/>
        </w:rPr>
        <w:t>IV</w:t>
      </w:r>
      <w:r w:rsidR="00F24607">
        <w:rPr>
          <w:rFonts w:eastAsia="Calibri"/>
          <w:b/>
        </w:rPr>
        <w:t xml:space="preserve">, Sections (B) </w:t>
      </w:r>
      <w:r w:rsidR="00F24607" w:rsidRPr="00AC63FE">
        <w:rPr>
          <w:rFonts w:eastAsia="Calibri"/>
        </w:rPr>
        <w:t xml:space="preserve">and </w:t>
      </w:r>
      <w:r w:rsidR="00F24607">
        <w:rPr>
          <w:rFonts w:eastAsia="Calibri"/>
          <w:b/>
        </w:rPr>
        <w:t>(C)</w:t>
      </w:r>
      <w:r w:rsidRPr="00845782">
        <w:rPr>
          <w:rFonts w:eastAsia="Calibri"/>
        </w:rPr>
        <w:t xml:space="preserve"> </w:t>
      </w:r>
      <w:r w:rsidR="00F24607">
        <w:rPr>
          <w:rFonts w:eastAsia="Calibri"/>
        </w:rPr>
        <w:t>of</w:t>
      </w:r>
      <w:r w:rsidRPr="00845782">
        <w:rPr>
          <w:rFonts w:eastAsia="Calibri"/>
        </w:rPr>
        <w:t xml:space="preserve"> the PPA</w:t>
      </w:r>
      <w:r w:rsidR="00C25AF2">
        <w:rPr>
          <w:rFonts w:eastAsia="Calibri"/>
        </w:rPr>
        <w:t xml:space="preserve"> and </w:t>
      </w:r>
      <w:r w:rsidR="00C25AF2" w:rsidRPr="00157964">
        <w:rPr>
          <w:rFonts w:eastAsia="Calibri"/>
          <w:bCs/>
        </w:rPr>
        <w:t xml:space="preserve">Attachment A of Amendment No. </w:t>
      </w:r>
      <w:r w:rsidR="00E5121E">
        <w:rPr>
          <w:rFonts w:eastAsia="Calibri"/>
          <w:bCs/>
        </w:rPr>
        <w:t>3</w:t>
      </w:r>
      <w:r w:rsidRPr="00845782">
        <w:rPr>
          <w:rFonts w:eastAsia="Calibri"/>
        </w:rPr>
        <w:t>.</w:t>
      </w:r>
    </w:p>
    <w:p w14:paraId="23EFEF65" w14:textId="77777777" w:rsidR="005A2616" w:rsidRPr="005A2616" w:rsidRDefault="005A2616" w:rsidP="00A26808">
      <w:pPr>
        <w:ind w:left="720"/>
        <w:rPr>
          <w:rFonts w:eastAsia="Calibri"/>
        </w:rPr>
      </w:pPr>
    </w:p>
    <w:p w14:paraId="224C8308" w14:textId="692FE0B8" w:rsidR="005A2616" w:rsidRDefault="005A2616" w:rsidP="005A2616">
      <w:pPr>
        <w:pStyle w:val="ListParagraph"/>
        <w:numPr>
          <w:ilvl w:val="0"/>
          <w:numId w:val="1"/>
        </w:numPr>
        <w:ind w:left="0" w:firstLine="720"/>
        <w:rPr>
          <w:rFonts w:eastAsia="Calibri"/>
        </w:rPr>
      </w:pPr>
      <w:r w:rsidRPr="005A2616">
        <w:rPr>
          <w:rFonts w:eastAsia="Calibri"/>
        </w:rPr>
        <w:t xml:space="preserve">Beginning January 1, 2023, Seller shall not deliver any Net Metered Output to PacifiCorp under the PPA until such time PacifiCorp provides written notice to Seller that PacifiCorp has received designation of the Facility as a Network Resource (as that term is defined in PacifiCorp’s Open Access Transmission Tariff on file with FERC), thereby authorizing transmission service under PacifiCorp’s Network Integration Service Agreement with PacifiCorp Transmission Provider. </w:t>
      </w:r>
      <w:r w:rsidR="0010062D">
        <w:rPr>
          <w:rFonts w:eastAsia="Calibri"/>
        </w:rPr>
        <w:t xml:space="preserve"> </w:t>
      </w:r>
      <w:r w:rsidR="0010062D" w:rsidRPr="0010062D">
        <w:rPr>
          <w:rFonts w:eastAsia="Calibri"/>
        </w:rPr>
        <w:t>For Contract Year 2023, the required annual Base Metered Net Output set forth in Article II, Section (B)(3) of the PPA will be prorated based on the number of days Seller is prohibited from delivering Net Output under this Section 5.</w:t>
      </w:r>
    </w:p>
    <w:p w14:paraId="49A60747" w14:textId="77777777" w:rsidR="005A2616" w:rsidRPr="005A2616" w:rsidRDefault="005A2616" w:rsidP="00A26808">
      <w:pPr>
        <w:pStyle w:val="ListParagraph"/>
        <w:rPr>
          <w:rFonts w:eastAsia="Calibri"/>
        </w:rPr>
      </w:pPr>
    </w:p>
    <w:p w14:paraId="5EDE1E9C" w14:textId="6EE7A898" w:rsidR="00C25AF2" w:rsidRDefault="001271A5" w:rsidP="00A26808">
      <w:pPr>
        <w:pStyle w:val="00BodyText1"/>
        <w:numPr>
          <w:ilvl w:val="0"/>
          <w:numId w:val="1"/>
        </w:numPr>
        <w:ind w:left="0" w:firstLine="720"/>
        <w:jc w:val="both"/>
        <w:rPr>
          <w:rFonts w:eastAsia="Calibri"/>
        </w:rPr>
      </w:pPr>
      <w:r w:rsidRPr="001271A5">
        <w:t xml:space="preserve"> </w:t>
      </w:r>
      <w:r w:rsidR="002B78B3">
        <w:rPr>
          <w:rFonts w:eastAsia="Calibri"/>
        </w:rPr>
        <w:t>T</w:t>
      </w:r>
      <w:r w:rsidRPr="001271A5">
        <w:rPr>
          <w:rFonts w:eastAsia="Calibri"/>
        </w:rPr>
        <w:t>his amendment does not determine the ownership of renewable energy credits (“RECs”), as set forth in</w:t>
      </w:r>
      <w:r>
        <w:rPr>
          <w:rFonts w:eastAsia="Calibri"/>
        </w:rPr>
        <w:t xml:space="preserve"> Cal. Pub. Util. Code §399.21.</w:t>
      </w:r>
      <w:r w:rsidRPr="001271A5">
        <w:rPr>
          <w:rFonts w:eastAsia="Calibri"/>
        </w:rPr>
        <w:t xml:space="preserve"> </w:t>
      </w:r>
    </w:p>
    <w:p w14:paraId="227BB254" w14:textId="0FF1A340" w:rsidR="00717711" w:rsidRDefault="00717711" w:rsidP="00B57107">
      <w:pPr>
        <w:pStyle w:val="ListParagraph"/>
        <w:numPr>
          <w:ilvl w:val="0"/>
          <w:numId w:val="1"/>
        </w:numPr>
        <w:ind w:left="0" w:firstLine="720"/>
        <w:rPr>
          <w:kern w:val="12"/>
        </w:rPr>
      </w:pPr>
      <w:r>
        <w:t xml:space="preserve">All other terms and provisions of the </w:t>
      </w:r>
      <w:r w:rsidR="005949C5">
        <w:t>PPA</w:t>
      </w:r>
      <w:r>
        <w:t xml:space="preserve"> shall remain unchanged.</w:t>
      </w:r>
      <w:r w:rsidR="001F5F6D">
        <w:t xml:space="preserve">  </w:t>
      </w:r>
      <w:r w:rsidR="001F5F6D">
        <w:rPr>
          <w:kern w:val="12"/>
        </w:rPr>
        <w:t xml:space="preserve">Each </w:t>
      </w:r>
      <w:r w:rsidR="005949C5">
        <w:rPr>
          <w:kern w:val="12"/>
        </w:rPr>
        <w:t>P</w:t>
      </w:r>
      <w:r w:rsidR="001F5F6D" w:rsidRPr="009359C4">
        <w:rPr>
          <w:kern w:val="12"/>
        </w:rPr>
        <w:t xml:space="preserve">arty hereby ratifies and confirms that except as expressly amended hereby, all of the terms, conditions, covenants, representations, warranties and all other provisions of the </w:t>
      </w:r>
      <w:r w:rsidR="005949C5">
        <w:rPr>
          <w:kern w:val="12"/>
        </w:rPr>
        <w:t>PPA</w:t>
      </w:r>
      <w:r w:rsidR="001F5F6D" w:rsidRPr="009359C4">
        <w:rPr>
          <w:kern w:val="12"/>
        </w:rPr>
        <w:t xml:space="preserve"> remain in full force and effect.</w:t>
      </w:r>
    </w:p>
    <w:p w14:paraId="44109761" w14:textId="77777777" w:rsidR="00B57107" w:rsidRPr="001F5F6D" w:rsidRDefault="00B57107" w:rsidP="00DE5E31">
      <w:pPr>
        <w:pStyle w:val="ListParagraph"/>
        <w:rPr>
          <w:kern w:val="12"/>
        </w:rPr>
      </w:pPr>
    </w:p>
    <w:p w14:paraId="11E005F6" w14:textId="39D4B735" w:rsidR="00BC14D2" w:rsidRDefault="008C67A0" w:rsidP="00DE5E31">
      <w:pPr>
        <w:pStyle w:val="ListParagraph"/>
        <w:numPr>
          <w:ilvl w:val="0"/>
          <w:numId w:val="1"/>
        </w:numPr>
        <w:ind w:left="0" w:firstLine="720"/>
      </w:pPr>
      <w:r>
        <w:t xml:space="preserve">Capitalized terms used but not defined in this </w:t>
      </w:r>
      <w:r w:rsidR="00321EC8">
        <w:t xml:space="preserve">Amendment No. </w:t>
      </w:r>
      <w:r w:rsidR="00E5121E">
        <w:t xml:space="preserve">4 </w:t>
      </w:r>
      <w:r>
        <w:t xml:space="preserve">shall have the meaning set forth in the </w:t>
      </w:r>
      <w:r w:rsidR="005949C5">
        <w:t>PPA</w:t>
      </w:r>
      <w:r>
        <w:t>.</w:t>
      </w:r>
    </w:p>
    <w:p w14:paraId="5FD44450" w14:textId="77777777" w:rsidR="00B57107" w:rsidRPr="00DE5E31" w:rsidRDefault="00B57107" w:rsidP="00DE5E31">
      <w:pPr>
        <w:pStyle w:val="ListParagraph"/>
        <w:rPr>
          <w:b/>
          <w:kern w:val="12"/>
          <w:u w:val="single"/>
        </w:rPr>
      </w:pPr>
    </w:p>
    <w:p w14:paraId="40C93FBA" w14:textId="1F25F73C" w:rsidR="001F5F6D" w:rsidRPr="00A16AC8" w:rsidRDefault="001F5F6D" w:rsidP="00DE5E31">
      <w:pPr>
        <w:pStyle w:val="ListParagraph"/>
        <w:numPr>
          <w:ilvl w:val="0"/>
          <w:numId w:val="1"/>
        </w:numPr>
        <w:ind w:left="0" w:firstLine="720"/>
        <w:rPr>
          <w:b/>
          <w:kern w:val="12"/>
          <w:u w:val="single"/>
        </w:rPr>
      </w:pPr>
      <w:r w:rsidRPr="00FA74C3">
        <w:rPr>
          <w:kern w:val="12"/>
        </w:rPr>
        <w:t xml:space="preserve">This </w:t>
      </w:r>
      <w:r w:rsidR="00321EC8">
        <w:rPr>
          <w:kern w:val="12"/>
        </w:rPr>
        <w:t xml:space="preserve">Amendment No. </w:t>
      </w:r>
      <w:r w:rsidR="00E5121E">
        <w:rPr>
          <w:kern w:val="12"/>
        </w:rPr>
        <w:t>4</w:t>
      </w:r>
      <w:r w:rsidR="00E5121E" w:rsidRPr="00FA74C3">
        <w:rPr>
          <w:kern w:val="12"/>
        </w:rPr>
        <w:t xml:space="preserve"> </w:t>
      </w:r>
      <w:r w:rsidRPr="00FA74C3">
        <w:rPr>
          <w:kern w:val="12"/>
        </w:rPr>
        <w:t xml:space="preserve">may be executed in any number of counterparts and by different parties hereto in separate counterparts, each of which when so executed and delivered </w:t>
      </w:r>
      <w:r w:rsidRPr="00FA74C3">
        <w:rPr>
          <w:kern w:val="12"/>
        </w:rPr>
        <w:lastRenderedPageBreak/>
        <w:t xml:space="preserve">shall be deemed to be an original and all of which taken together shall constitute but one and the same instrument.  Delivery of an executed counterpart of this </w:t>
      </w:r>
      <w:r w:rsidR="00321EC8">
        <w:rPr>
          <w:kern w:val="12"/>
        </w:rPr>
        <w:t xml:space="preserve">Amendment No. </w:t>
      </w:r>
      <w:r w:rsidR="00E5121E">
        <w:rPr>
          <w:kern w:val="12"/>
        </w:rPr>
        <w:t xml:space="preserve">4 </w:t>
      </w:r>
      <w:r w:rsidRPr="00FA74C3">
        <w:rPr>
          <w:kern w:val="12"/>
        </w:rPr>
        <w:t>by electronic transmission (in pdf form) shall be equally as effective as delivery of a manually executed counterpart.</w:t>
      </w:r>
    </w:p>
    <w:p w14:paraId="039EA302" w14:textId="77777777" w:rsidR="001F5F6D" w:rsidRPr="00A16AC8" w:rsidRDefault="001F5F6D" w:rsidP="001F5F6D">
      <w:pPr>
        <w:jc w:val="left"/>
        <w:rPr>
          <w:b/>
          <w:kern w:val="12"/>
          <w:u w:val="single"/>
        </w:rPr>
      </w:pPr>
    </w:p>
    <w:p w14:paraId="7D21D56C" w14:textId="413DE0BA" w:rsidR="00717711" w:rsidRDefault="00717711" w:rsidP="001F5F6D">
      <w:pPr>
        <w:jc w:val="center"/>
        <w:rPr>
          <w:rFonts w:eastAsia="Calibri"/>
          <w:i/>
        </w:rPr>
      </w:pPr>
      <w:r w:rsidRPr="001F5F6D">
        <w:rPr>
          <w:rFonts w:eastAsia="Calibri"/>
          <w:i/>
        </w:rPr>
        <w:t>[signature page follows]</w:t>
      </w:r>
    </w:p>
    <w:p w14:paraId="75F1011E" w14:textId="77777777" w:rsidR="000F2ECC" w:rsidRDefault="000F2ECC">
      <w:pPr>
        <w:spacing w:after="200" w:line="276" w:lineRule="auto"/>
        <w:jc w:val="left"/>
      </w:pPr>
      <w:r>
        <w:br w:type="page"/>
      </w:r>
    </w:p>
    <w:p w14:paraId="4AC13126" w14:textId="74A25033" w:rsidR="004D23F7" w:rsidRDefault="00600B85" w:rsidP="004D23F7">
      <w:pPr>
        <w:pStyle w:val="PROPSTY"/>
      </w:pPr>
      <w:r w:rsidRPr="00D2509F">
        <w:t xml:space="preserve">IN WITNESS WHEREOF, the </w:t>
      </w:r>
      <w:r>
        <w:t>p</w:t>
      </w:r>
      <w:r w:rsidRPr="00D2509F">
        <w:t xml:space="preserve">arties </w:t>
      </w:r>
      <w:r>
        <w:t xml:space="preserve">below </w:t>
      </w:r>
      <w:r w:rsidRPr="00D2509F">
        <w:t xml:space="preserve">have caused this </w:t>
      </w:r>
      <w:r w:rsidR="00D40497">
        <w:t xml:space="preserve">Amendment No. </w:t>
      </w:r>
      <w:r w:rsidR="00E5121E">
        <w:t xml:space="preserve">4 </w:t>
      </w:r>
      <w:r w:rsidRPr="00D2509F">
        <w:t>to be executed in their respective names</w:t>
      </w:r>
      <w:r w:rsidR="006D7344">
        <w:t xml:space="preserve"> this 3</w:t>
      </w:r>
      <w:r w:rsidR="006D7344" w:rsidRPr="006D7344">
        <w:rPr>
          <w:vertAlign w:val="superscript"/>
        </w:rPr>
        <w:t>rd</w:t>
      </w:r>
      <w:r w:rsidR="006D7344">
        <w:t xml:space="preserve"> day</w:t>
      </w:r>
      <w:r w:rsidR="004D23F7">
        <w:t xml:space="preserve"> of </w:t>
      </w:r>
      <w:r w:rsidR="00A26808">
        <w:t>January</w:t>
      </w:r>
      <w:r w:rsidR="004D23F7">
        <w:t>, 202</w:t>
      </w:r>
      <w:r w:rsidR="00A26808">
        <w:t>3</w:t>
      </w:r>
      <w:r w:rsidR="008823B7">
        <w:t>.</w:t>
      </w:r>
    </w:p>
    <w:p w14:paraId="74EBDCDF" w14:textId="77777777" w:rsidR="004D23F7" w:rsidRDefault="004D23F7" w:rsidP="004D23F7">
      <w:pPr>
        <w:pStyle w:val="PROPSTY"/>
        <w:rPr>
          <w:rFonts w:ascii="Arial" w:hAnsi="Arial" w:cs="Arial"/>
          <w:sz w:val="23"/>
          <w:szCs w:val="23"/>
        </w:rPr>
      </w:pPr>
    </w:p>
    <w:p w14:paraId="70875498" w14:textId="77777777" w:rsidR="004D23F7" w:rsidRDefault="004D23F7" w:rsidP="004D23F7">
      <w:pPr>
        <w:pStyle w:val="PROPSTY"/>
        <w:tabs>
          <w:tab w:val="clear" w:pos="864"/>
          <w:tab w:val="clear" w:pos="1440"/>
          <w:tab w:val="clear" w:pos="2016"/>
          <w:tab w:val="clear" w:pos="2592"/>
          <w:tab w:val="clear" w:pos="3168"/>
        </w:tabs>
        <w:rPr>
          <w:rFonts w:ascii="Arial" w:hAnsi="Arial" w:cs="Arial"/>
          <w:sz w:val="23"/>
          <w:szCs w:val="23"/>
        </w:rPr>
      </w:pPr>
    </w:p>
    <w:p w14:paraId="12C54A9A" w14:textId="77777777" w:rsidR="004D23F7" w:rsidRPr="00274D80" w:rsidRDefault="004D23F7" w:rsidP="004D23F7">
      <w:pPr>
        <w:pStyle w:val="PROPSTY"/>
        <w:tabs>
          <w:tab w:val="clear" w:pos="864"/>
          <w:tab w:val="clear" w:pos="1440"/>
          <w:tab w:val="clear" w:pos="2016"/>
          <w:tab w:val="clear" w:pos="2592"/>
          <w:tab w:val="clear" w:pos="3168"/>
        </w:tabs>
        <w:rPr>
          <w:szCs w:val="24"/>
        </w:rPr>
      </w:pPr>
      <w:r>
        <w:rPr>
          <w:rFonts w:ascii="Arial" w:hAnsi="Arial" w:cs="Arial"/>
          <w:sz w:val="23"/>
          <w:szCs w:val="23"/>
        </w:rPr>
        <w:tab/>
      </w:r>
      <w:r w:rsidRPr="00274D80">
        <w:rPr>
          <w:szCs w:val="24"/>
        </w:rPr>
        <w:t xml:space="preserve">SISKIYOU POWER AUTHORITY </w:t>
      </w:r>
    </w:p>
    <w:p w14:paraId="35CBA154" w14:textId="77777777" w:rsidR="004D23F7" w:rsidRDefault="004D23F7" w:rsidP="004D23F7">
      <w:pPr>
        <w:pStyle w:val="PROPSTY"/>
        <w:tabs>
          <w:tab w:val="clear" w:pos="864"/>
          <w:tab w:val="clear" w:pos="1440"/>
          <w:tab w:val="clear" w:pos="2016"/>
          <w:tab w:val="clear" w:pos="2592"/>
          <w:tab w:val="clear" w:pos="3168"/>
        </w:tabs>
        <w:rPr>
          <w:szCs w:val="24"/>
        </w:rPr>
      </w:pPr>
    </w:p>
    <w:p w14:paraId="5AF284C8" w14:textId="77777777" w:rsidR="00FA4588" w:rsidRPr="00274D80" w:rsidRDefault="00FA4588" w:rsidP="004D23F7">
      <w:pPr>
        <w:pStyle w:val="PROPSTY"/>
        <w:tabs>
          <w:tab w:val="clear" w:pos="864"/>
          <w:tab w:val="clear" w:pos="1440"/>
          <w:tab w:val="clear" w:pos="2016"/>
          <w:tab w:val="clear" w:pos="2592"/>
          <w:tab w:val="clear" w:pos="3168"/>
        </w:tabs>
        <w:rPr>
          <w:szCs w:val="24"/>
        </w:rPr>
      </w:pPr>
    </w:p>
    <w:p w14:paraId="5FF8F3DF" w14:textId="1665D03D" w:rsidR="004D23F7" w:rsidRPr="00274D80" w:rsidRDefault="004D23F7" w:rsidP="004D23F7">
      <w:pPr>
        <w:pStyle w:val="PROPSTY"/>
        <w:tabs>
          <w:tab w:val="clear" w:pos="864"/>
          <w:tab w:val="clear" w:pos="1440"/>
          <w:tab w:val="clear" w:pos="2016"/>
          <w:tab w:val="clear" w:pos="2592"/>
          <w:tab w:val="clear" w:pos="3168"/>
        </w:tabs>
        <w:rPr>
          <w:szCs w:val="24"/>
        </w:rPr>
      </w:pPr>
      <w:r w:rsidRPr="00274D80">
        <w:rPr>
          <w:szCs w:val="24"/>
        </w:rPr>
        <w:tab/>
        <w:t>By</w:t>
      </w:r>
      <w:r w:rsidR="00FA4588">
        <w:rPr>
          <w:szCs w:val="24"/>
        </w:rPr>
        <w:t>:</w:t>
      </w:r>
      <w:r w:rsidRPr="00274D80">
        <w:rPr>
          <w:szCs w:val="24"/>
        </w:rPr>
        <w:t xml:space="preserve"> ________________________________________</w:t>
      </w:r>
    </w:p>
    <w:p w14:paraId="6CB0A27A" w14:textId="767D3021" w:rsidR="004D23F7" w:rsidRPr="00274D80" w:rsidRDefault="006D7344" w:rsidP="004D23F7">
      <w:pPr>
        <w:pStyle w:val="PROPSTY"/>
        <w:tabs>
          <w:tab w:val="clear" w:pos="864"/>
          <w:tab w:val="clear" w:pos="1440"/>
          <w:tab w:val="clear" w:pos="2016"/>
          <w:tab w:val="clear" w:pos="2592"/>
          <w:tab w:val="clear" w:pos="3168"/>
        </w:tabs>
        <w:rPr>
          <w:szCs w:val="24"/>
        </w:rPr>
      </w:pPr>
      <w:r>
        <w:rPr>
          <w:szCs w:val="24"/>
        </w:rPr>
        <w:tab/>
      </w:r>
      <w:bookmarkStart w:id="0" w:name="_GoBack"/>
      <w:bookmarkEnd w:id="0"/>
    </w:p>
    <w:p w14:paraId="4F5614CF" w14:textId="77777777" w:rsidR="004D23F7" w:rsidRPr="00274D80" w:rsidRDefault="004D23F7" w:rsidP="004D23F7">
      <w:pPr>
        <w:pStyle w:val="PROPSTY"/>
        <w:tabs>
          <w:tab w:val="clear" w:pos="864"/>
          <w:tab w:val="clear" w:pos="1440"/>
          <w:tab w:val="clear" w:pos="2016"/>
          <w:tab w:val="clear" w:pos="2592"/>
          <w:tab w:val="clear" w:pos="3168"/>
        </w:tabs>
        <w:rPr>
          <w:szCs w:val="24"/>
        </w:rPr>
      </w:pPr>
      <w:r w:rsidRPr="00274D80">
        <w:rPr>
          <w:szCs w:val="24"/>
        </w:rPr>
        <w:tab/>
      </w:r>
      <w:r w:rsidRPr="00274D80">
        <w:rPr>
          <w:szCs w:val="24"/>
        </w:rPr>
        <w:tab/>
        <w:t>Chair, Board of Directors</w:t>
      </w:r>
    </w:p>
    <w:p w14:paraId="4B6B06A9" w14:textId="77777777" w:rsidR="00FA4588" w:rsidRDefault="00FA4588" w:rsidP="00FA4588">
      <w:pPr>
        <w:pStyle w:val="PROPSTY"/>
        <w:ind w:left="3780"/>
        <w:rPr>
          <w:szCs w:val="24"/>
        </w:rPr>
      </w:pPr>
    </w:p>
    <w:p w14:paraId="1DA641BD" w14:textId="77777777" w:rsidR="00FA4588" w:rsidRDefault="00FA4588" w:rsidP="00FA4588">
      <w:pPr>
        <w:pStyle w:val="PROPSTY"/>
        <w:ind w:left="3780"/>
        <w:rPr>
          <w:szCs w:val="24"/>
        </w:rPr>
      </w:pPr>
    </w:p>
    <w:p w14:paraId="34693805" w14:textId="77777777" w:rsidR="004D23F7" w:rsidRDefault="004D23F7" w:rsidP="00FA4588">
      <w:pPr>
        <w:pStyle w:val="PROPSTY"/>
        <w:tabs>
          <w:tab w:val="clear" w:pos="3744"/>
        </w:tabs>
        <w:ind w:left="4320"/>
        <w:rPr>
          <w:szCs w:val="24"/>
        </w:rPr>
      </w:pPr>
      <w:r w:rsidRPr="00274D80">
        <w:rPr>
          <w:szCs w:val="24"/>
        </w:rPr>
        <w:t>ATTEST:</w:t>
      </w:r>
    </w:p>
    <w:p w14:paraId="0E34B08D" w14:textId="77777777" w:rsidR="00FA4588" w:rsidRPr="00274D80" w:rsidRDefault="00FA4588" w:rsidP="00FA4588">
      <w:pPr>
        <w:pStyle w:val="PROPSTY"/>
        <w:tabs>
          <w:tab w:val="clear" w:pos="3744"/>
        </w:tabs>
        <w:ind w:left="4320"/>
        <w:rPr>
          <w:szCs w:val="24"/>
        </w:rPr>
      </w:pPr>
    </w:p>
    <w:p w14:paraId="4396E418" w14:textId="77777777" w:rsidR="004D23F7" w:rsidRPr="00274D80" w:rsidRDefault="004D23F7" w:rsidP="00FA4588">
      <w:pPr>
        <w:pStyle w:val="PROPSTY"/>
        <w:tabs>
          <w:tab w:val="clear" w:pos="3744"/>
        </w:tabs>
        <w:ind w:left="4320"/>
        <w:rPr>
          <w:szCs w:val="24"/>
        </w:rPr>
      </w:pPr>
      <w:r w:rsidRPr="00274D80">
        <w:rPr>
          <w:szCs w:val="24"/>
        </w:rPr>
        <w:t>LAURA BYNUM</w:t>
      </w:r>
    </w:p>
    <w:p w14:paraId="0EB9431D" w14:textId="77777777" w:rsidR="004D23F7" w:rsidRPr="00274D80" w:rsidRDefault="004D23F7" w:rsidP="00FA4588">
      <w:pPr>
        <w:pStyle w:val="PROPSTY"/>
        <w:tabs>
          <w:tab w:val="clear" w:pos="3744"/>
        </w:tabs>
        <w:ind w:left="4320"/>
        <w:rPr>
          <w:szCs w:val="24"/>
        </w:rPr>
      </w:pPr>
      <w:r w:rsidRPr="00274D80">
        <w:rPr>
          <w:szCs w:val="24"/>
        </w:rPr>
        <w:t>Clerk of the Board</w:t>
      </w:r>
    </w:p>
    <w:p w14:paraId="74507391" w14:textId="77777777" w:rsidR="004D23F7" w:rsidRPr="00274D80" w:rsidRDefault="004D23F7" w:rsidP="00FA4588">
      <w:pPr>
        <w:pStyle w:val="PROPSTY"/>
        <w:tabs>
          <w:tab w:val="clear" w:pos="3744"/>
        </w:tabs>
        <w:ind w:left="4320"/>
        <w:rPr>
          <w:szCs w:val="24"/>
        </w:rPr>
      </w:pPr>
    </w:p>
    <w:p w14:paraId="4D6E7F2E" w14:textId="77777777" w:rsidR="004D23F7" w:rsidRPr="00274D80" w:rsidRDefault="004D23F7" w:rsidP="00FA4588">
      <w:pPr>
        <w:pStyle w:val="PROPSTY"/>
        <w:tabs>
          <w:tab w:val="clear" w:pos="3744"/>
        </w:tabs>
        <w:ind w:left="4320"/>
        <w:rPr>
          <w:szCs w:val="24"/>
          <w:u w:val="single"/>
        </w:rPr>
      </w:pPr>
      <w:r w:rsidRPr="00274D80">
        <w:rPr>
          <w:szCs w:val="24"/>
        </w:rPr>
        <w:t xml:space="preserve">By: </w:t>
      </w:r>
      <w:r w:rsidRPr="00274D80">
        <w:rPr>
          <w:szCs w:val="24"/>
          <w:u w:val="single"/>
        </w:rPr>
        <w:t>___________________</w:t>
      </w:r>
    </w:p>
    <w:p w14:paraId="2311EB25" w14:textId="77777777" w:rsidR="004D23F7" w:rsidRPr="00274D80" w:rsidRDefault="004D23F7" w:rsidP="00FA4588">
      <w:pPr>
        <w:pStyle w:val="PROPSTY"/>
        <w:tabs>
          <w:tab w:val="clear" w:pos="3744"/>
        </w:tabs>
        <w:ind w:left="4320"/>
        <w:rPr>
          <w:szCs w:val="24"/>
        </w:rPr>
      </w:pPr>
      <w:r w:rsidRPr="00274D80">
        <w:rPr>
          <w:szCs w:val="24"/>
        </w:rPr>
        <w:tab/>
        <w:t>Deputy</w:t>
      </w:r>
    </w:p>
    <w:p w14:paraId="01769F58" w14:textId="77777777" w:rsidR="004D23F7" w:rsidRPr="00274D80" w:rsidRDefault="004D23F7" w:rsidP="00FA4588">
      <w:pPr>
        <w:pStyle w:val="PROPSTY"/>
        <w:ind w:left="4320"/>
        <w:rPr>
          <w:szCs w:val="24"/>
        </w:rPr>
      </w:pPr>
    </w:p>
    <w:p w14:paraId="6B3078BF" w14:textId="77777777" w:rsidR="00FA4588" w:rsidRDefault="00FA4588" w:rsidP="00274D80">
      <w:pPr>
        <w:pStyle w:val="00BodyText1"/>
        <w:spacing w:after="0"/>
        <w:ind w:left="3060" w:firstLine="720"/>
        <w:jc w:val="both"/>
        <w:rPr>
          <w:rFonts w:eastAsia="Calibri" w:cs="Times New Roman"/>
        </w:rPr>
      </w:pPr>
    </w:p>
    <w:p w14:paraId="3D953258" w14:textId="77777777" w:rsidR="00FA4588" w:rsidRDefault="00FA4588" w:rsidP="00274D80">
      <w:pPr>
        <w:pStyle w:val="00BodyText1"/>
        <w:spacing w:after="0"/>
        <w:ind w:left="3060" w:firstLine="720"/>
        <w:jc w:val="both"/>
        <w:rPr>
          <w:rFonts w:eastAsia="Calibri" w:cs="Times New Roman"/>
        </w:rPr>
      </w:pPr>
    </w:p>
    <w:p w14:paraId="15D7C4A7" w14:textId="77777777" w:rsidR="00FA4588" w:rsidRPr="00DA1AEE" w:rsidRDefault="00FA4588" w:rsidP="00274D80">
      <w:pPr>
        <w:pStyle w:val="00BodyText1"/>
        <w:spacing w:after="0"/>
        <w:ind w:left="3060" w:firstLine="720"/>
        <w:jc w:val="both"/>
        <w:rPr>
          <w:rFonts w:eastAsia="Calibri" w:cs="Times New Roman"/>
        </w:rPr>
      </w:pPr>
      <w:r w:rsidRPr="00DA1AEE">
        <w:rPr>
          <w:rFonts w:eastAsia="Calibri" w:cs="Times New Roman"/>
        </w:rPr>
        <w:t>PACIFICORP</w:t>
      </w:r>
    </w:p>
    <w:p w14:paraId="119FECF3" w14:textId="77777777" w:rsidR="00FA4588" w:rsidRPr="00DA1AEE" w:rsidRDefault="00FA4588" w:rsidP="00FA4588">
      <w:pPr>
        <w:pStyle w:val="00BodyText1"/>
        <w:spacing w:after="0"/>
        <w:ind w:left="4320" w:firstLine="0"/>
        <w:jc w:val="both"/>
        <w:rPr>
          <w:rFonts w:cs="Times New Roman"/>
        </w:rPr>
      </w:pPr>
    </w:p>
    <w:p w14:paraId="3F51D52F" w14:textId="77777777" w:rsidR="00FA4588" w:rsidRPr="00DA1AEE" w:rsidRDefault="00FA4588" w:rsidP="00FA4588">
      <w:pPr>
        <w:pStyle w:val="00BodyText1"/>
        <w:spacing w:after="0"/>
        <w:ind w:left="4320" w:firstLine="0"/>
        <w:jc w:val="both"/>
        <w:rPr>
          <w:rFonts w:cs="Times New Roman"/>
        </w:rPr>
      </w:pPr>
    </w:p>
    <w:p w14:paraId="416C3AAD" w14:textId="77777777" w:rsidR="00FA4588" w:rsidRPr="00DA1AEE" w:rsidRDefault="00FA4588" w:rsidP="00274D80">
      <w:pPr>
        <w:pStyle w:val="00BodyText1"/>
        <w:keepNext/>
        <w:spacing w:after="0"/>
        <w:ind w:left="2340"/>
        <w:rPr>
          <w:rFonts w:cs="Times New Roman"/>
        </w:rPr>
      </w:pPr>
      <w:r w:rsidRPr="00DA1AEE">
        <w:rPr>
          <w:rFonts w:cs="Times New Roman"/>
        </w:rPr>
        <w:t>By: ___________________________</w:t>
      </w:r>
    </w:p>
    <w:p w14:paraId="7013C713" w14:textId="44A20DAE" w:rsidR="00FA4588" w:rsidRPr="00DA1AEE" w:rsidRDefault="00FA4588" w:rsidP="00FA4588">
      <w:pPr>
        <w:pStyle w:val="00BodyText1"/>
        <w:keepNext/>
        <w:spacing w:after="0"/>
        <w:ind w:firstLine="3780"/>
        <w:rPr>
          <w:rFonts w:eastAsia="Times New Roman" w:cs="Times New Roman"/>
        </w:rPr>
      </w:pPr>
      <w:r w:rsidRPr="00DA1AEE">
        <w:rPr>
          <w:rFonts w:eastAsia="Times New Roman" w:cs="Times New Roman"/>
        </w:rPr>
        <w:t xml:space="preserve">Name: </w:t>
      </w:r>
      <w:r w:rsidR="00B571EC">
        <w:rPr>
          <w:rFonts w:eastAsia="Times New Roman" w:cs="Times New Roman"/>
        </w:rPr>
        <w:t xml:space="preserve">Ron </w:t>
      </w:r>
      <w:proofErr w:type="spellStart"/>
      <w:r w:rsidR="00B571EC">
        <w:rPr>
          <w:rFonts w:eastAsia="Times New Roman" w:cs="Times New Roman"/>
        </w:rPr>
        <w:t>Scheirer</w:t>
      </w:r>
      <w:proofErr w:type="spellEnd"/>
    </w:p>
    <w:p w14:paraId="65573E36" w14:textId="17F3ACCC" w:rsidR="004D23F7" w:rsidRPr="00274D80" w:rsidRDefault="00FA4588" w:rsidP="00FA4588">
      <w:pPr>
        <w:pStyle w:val="PROPSTY"/>
        <w:rPr>
          <w:szCs w:val="24"/>
        </w:rPr>
      </w:pPr>
      <w:r>
        <w:rPr>
          <w:szCs w:val="24"/>
        </w:rPr>
        <w:tab/>
      </w:r>
      <w:r>
        <w:rPr>
          <w:szCs w:val="24"/>
        </w:rPr>
        <w:tab/>
      </w:r>
      <w:r>
        <w:rPr>
          <w:szCs w:val="24"/>
        </w:rPr>
        <w:tab/>
      </w:r>
      <w:r>
        <w:rPr>
          <w:szCs w:val="24"/>
        </w:rPr>
        <w:tab/>
      </w:r>
      <w:r>
        <w:rPr>
          <w:szCs w:val="24"/>
        </w:rPr>
        <w:tab/>
      </w:r>
      <w:r>
        <w:rPr>
          <w:szCs w:val="24"/>
        </w:rPr>
        <w:tab/>
      </w:r>
      <w:r w:rsidRPr="00DA1AEE">
        <w:rPr>
          <w:szCs w:val="24"/>
        </w:rPr>
        <w:t>Title:</w:t>
      </w:r>
      <w:r>
        <w:rPr>
          <w:szCs w:val="24"/>
        </w:rPr>
        <w:t xml:space="preserve"> </w:t>
      </w:r>
      <w:r w:rsidRPr="00DA1AEE">
        <w:rPr>
          <w:szCs w:val="24"/>
        </w:rPr>
        <w:t>Director</w:t>
      </w:r>
      <w:r w:rsidR="00B571EC">
        <w:rPr>
          <w:szCs w:val="24"/>
        </w:rPr>
        <w:t>, Valuation and Commercial Business</w:t>
      </w:r>
    </w:p>
    <w:p w14:paraId="271BE550" w14:textId="77777777" w:rsidR="004D23F7" w:rsidRPr="00274D80" w:rsidRDefault="004D23F7" w:rsidP="004D23F7">
      <w:pPr>
        <w:pStyle w:val="PROPSTY"/>
        <w:rPr>
          <w:szCs w:val="24"/>
          <w:u w:val="single"/>
        </w:rPr>
      </w:pPr>
    </w:p>
    <w:p w14:paraId="7438E881" w14:textId="77777777" w:rsidR="004D23F7" w:rsidRPr="00274D80" w:rsidRDefault="004D23F7" w:rsidP="004D23F7">
      <w:pPr>
        <w:pStyle w:val="PROPSTY"/>
        <w:rPr>
          <w:szCs w:val="24"/>
        </w:rPr>
      </w:pPr>
    </w:p>
    <w:p w14:paraId="1C2F6A02" w14:textId="77777777" w:rsidR="004D23F7" w:rsidRPr="00274D80" w:rsidRDefault="004D23F7" w:rsidP="004D23F7">
      <w:pPr>
        <w:pStyle w:val="PROPSTY"/>
        <w:rPr>
          <w:szCs w:val="24"/>
        </w:rPr>
      </w:pPr>
      <w:r w:rsidRPr="00274D80">
        <w:rPr>
          <w:szCs w:val="24"/>
          <w:u w:val="single"/>
        </w:rPr>
        <w:t xml:space="preserve">         </w:t>
      </w:r>
    </w:p>
    <w:p w14:paraId="620297A2" w14:textId="77777777" w:rsidR="004D23F7" w:rsidRPr="00274D80" w:rsidRDefault="004D23F7" w:rsidP="004D23F7">
      <w:pPr>
        <w:pStyle w:val="PROPSTY"/>
        <w:rPr>
          <w:szCs w:val="24"/>
        </w:rPr>
      </w:pPr>
      <w:r w:rsidRPr="00274D80">
        <w:rPr>
          <w:szCs w:val="24"/>
        </w:rPr>
        <w:t>ACCOUNTING:</w:t>
      </w:r>
    </w:p>
    <w:p w14:paraId="187FFD14" w14:textId="77777777" w:rsidR="004D23F7" w:rsidRPr="00274D80" w:rsidRDefault="004D23F7" w:rsidP="004D23F7">
      <w:pPr>
        <w:pStyle w:val="PROPSTY"/>
        <w:rPr>
          <w:szCs w:val="24"/>
        </w:rPr>
      </w:pPr>
      <w:r w:rsidRPr="00274D80">
        <w:rPr>
          <w:szCs w:val="24"/>
        </w:rPr>
        <w:t>Fund      Organization      Account</w:t>
      </w:r>
      <w:r w:rsidRPr="00274D80">
        <w:rPr>
          <w:szCs w:val="24"/>
        </w:rPr>
        <w:tab/>
        <w:t xml:space="preserve"> </w:t>
      </w:r>
      <w:r w:rsidRPr="00274D80">
        <w:rPr>
          <w:szCs w:val="24"/>
        </w:rPr>
        <w:tab/>
        <w:t>Activity Code (if applicable)</w:t>
      </w:r>
    </w:p>
    <w:p w14:paraId="011CB48C" w14:textId="5022A781" w:rsidR="004D23F7" w:rsidRPr="00274D80" w:rsidRDefault="0088119F" w:rsidP="004D23F7">
      <w:pPr>
        <w:pStyle w:val="PROPSTY"/>
        <w:rPr>
          <w:szCs w:val="24"/>
        </w:rPr>
      </w:pPr>
      <w:r w:rsidRPr="00274D80">
        <w:rPr>
          <w:szCs w:val="24"/>
        </w:rPr>
        <w:t>2511        205011             531100</w:t>
      </w:r>
    </w:p>
    <w:p w14:paraId="45470EE3" w14:textId="77777777" w:rsidR="004D23F7" w:rsidRPr="00274D80" w:rsidRDefault="004D23F7" w:rsidP="004D23F7">
      <w:pPr>
        <w:pStyle w:val="PROPSTY"/>
        <w:rPr>
          <w:szCs w:val="24"/>
        </w:rPr>
      </w:pPr>
      <w:r w:rsidRPr="00274D80">
        <w:rPr>
          <w:szCs w:val="24"/>
        </w:rPr>
        <w:t xml:space="preserve">Encumbrance number (if applicable): </w:t>
      </w:r>
    </w:p>
    <w:p w14:paraId="521304DD" w14:textId="4A008C5E" w:rsidR="004D23F7" w:rsidRPr="00274D80" w:rsidRDefault="004D23F7" w:rsidP="004D23F7">
      <w:pPr>
        <w:pStyle w:val="PROPSTY"/>
        <w:rPr>
          <w:szCs w:val="24"/>
        </w:rPr>
      </w:pPr>
      <w:r w:rsidRPr="00274D80">
        <w:rPr>
          <w:szCs w:val="24"/>
        </w:rPr>
        <w:t xml:space="preserve">If not to exceed, include amount not to exceed: </w:t>
      </w:r>
    </w:p>
    <w:p w14:paraId="1215DAC0" w14:textId="1C1A5162" w:rsidR="004D23F7" w:rsidRPr="00274D80" w:rsidRDefault="004D23F7" w:rsidP="004D23F7">
      <w:pPr>
        <w:pStyle w:val="PROPSTY"/>
        <w:rPr>
          <w:szCs w:val="24"/>
        </w:rPr>
      </w:pPr>
    </w:p>
    <w:p w14:paraId="38B0CC2F" w14:textId="354A827C" w:rsidR="004D23F7" w:rsidRPr="00274D80" w:rsidRDefault="004D23F7" w:rsidP="004D23F7">
      <w:pPr>
        <w:pStyle w:val="PROPSTY"/>
        <w:rPr>
          <w:szCs w:val="24"/>
        </w:rPr>
      </w:pPr>
    </w:p>
    <w:p w14:paraId="067C90EA" w14:textId="48B72595" w:rsidR="004D23F7" w:rsidRPr="00274D80" w:rsidRDefault="004D23F7" w:rsidP="004D23F7">
      <w:pPr>
        <w:pStyle w:val="PROPSTY"/>
        <w:rPr>
          <w:szCs w:val="24"/>
        </w:rPr>
      </w:pPr>
    </w:p>
    <w:p w14:paraId="3529959A" w14:textId="21C540D9" w:rsidR="004D23F7" w:rsidRPr="00274D80" w:rsidRDefault="004D23F7" w:rsidP="004D23F7">
      <w:pPr>
        <w:pStyle w:val="PROPSTY"/>
        <w:rPr>
          <w:szCs w:val="24"/>
        </w:rPr>
      </w:pPr>
    </w:p>
    <w:p w14:paraId="27558293" w14:textId="43AA6E46" w:rsidR="004D23F7" w:rsidRPr="00274D80" w:rsidRDefault="004D23F7" w:rsidP="004D23F7">
      <w:pPr>
        <w:pStyle w:val="PROPSTY"/>
        <w:rPr>
          <w:szCs w:val="24"/>
        </w:rPr>
      </w:pPr>
    </w:p>
    <w:p w14:paraId="0A51F7D5" w14:textId="3D650A0B" w:rsidR="004D23F7" w:rsidRPr="00274D80" w:rsidRDefault="004D23F7" w:rsidP="004D23F7">
      <w:pPr>
        <w:pStyle w:val="PROPSTY"/>
        <w:rPr>
          <w:szCs w:val="24"/>
        </w:rPr>
      </w:pPr>
    </w:p>
    <w:p w14:paraId="7E6AD244" w14:textId="53E2A111" w:rsidR="008C67A0" w:rsidRPr="00FA4588" w:rsidRDefault="008C67A0" w:rsidP="00274D80">
      <w:pPr>
        <w:pStyle w:val="BodyTextFirstIndent"/>
        <w:keepNext/>
        <w:spacing w:after="0"/>
        <w:rPr>
          <w:szCs w:val="24"/>
        </w:rPr>
      </w:pPr>
    </w:p>
    <w:p w14:paraId="63116BB1" w14:textId="789F7B8A" w:rsidR="008C67A0" w:rsidRPr="002F7A59" w:rsidRDefault="008C67A0" w:rsidP="00600B85">
      <w:pPr>
        <w:ind w:left="4320"/>
        <w:rPr>
          <w:b/>
          <w:szCs w:val="24"/>
        </w:rPr>
      </w:pPr>
    </w:p>
    <w:p w14:paraId="547A8DD7" w14:textId="3C1289E4" w:rsidR="005949C5" w:rsidRPr="005949C5" w:rsidRDefault="005949C5" w:rsidP="005949C5">
      <w:pPr>
        <w:pStyle w:val="BodyTextFirstIndent"/>
        <w:keepNext/>
        <w:spacing w:after="0"/>
        <w:ind w:firstLine="0"/>
        <w:jc w:val="center"/>
        <w:rPr>
          <w:b/>
          <w:szCs w:val="24"/>
          <w:u w:val="single"/>
        </w:rPr>
      </w:pPr>
      <w:r w:rsidRPr="005949C5">
        <w:rPr>
          <w:b/>
          <w:szCs w:val="24"/>
          <w:u w:val="single"/>
        </w:rPr>
        <w:t>ATTACHMENT A</w:t>
      </w:r>
    </w:p>
    <w:p w14:paraId="7CA0605F" w14:textId="77777777" w:rsidR="005949C5" w:rsidRDefault="005949C5" w:rsidP="00BC14D2">
      <w:pPr>
        <w:pStyle w:val="BodyTextFirstIndent"/>
        <w:keepNext/>
        <w:spacing w:after="0"/>
        <w:ind w:left="4320" w:firstLine="0"/>
        <w:rPr>
          <w:szCs w:val="24"/>
        </w:rPr>
      </w:pPr>
    </w:p>
    <w:p w14:paraId="61EDB546" w14:textId="6B4B1102" w:rsidR="005949C5" w:rsidRDefault="00F24607" w:rsidP="005949C5">
      <w:pPr>
        <w:pStyle w:val="BodyTextFirstIndent"/>
        <w:keepNext/>
        <w:spacing w:after="0"/>
        <w:ind w:firstLine="0"/>
        <w:jc w:val="center"/>
        <w:rPr>
          <w:szCs w:val="24"/>
        </w:rPr>
      </w:pPr>
      <w:r>
        <w:rPr>
          <w:szCs w:val="24"/>
        </w:rPr>
        <w:t>To replace Capacity Price</w:t>
      </w:r>
      <w:r w:rsidR="00AC63FE">
        <w:rPr>
          <w:szCs w:val="24"/>
        </w:rPr>
        <w:t xml:space="preserve">s </w:t>
      </w:r>
      <w:r>
        <w:rPr>
          <w:szCs w:val="24"/>
        </w:rPr>
        <w:t xml:space="preserve">and </w:t>
      </w:r>
      <w:r w:rsidR="00E86174">
        <w:rPr>
          <w:szCs w:val="24"/>
        </w:rPr>
        <w:t xml:space="preserve">Energy Prices in </w:t>
      </w:r>
      <w:r w:rsidR="00C25AF2" w:rsidRPr="00157964">
        <w:rPr>
          <w:rFonts w:eastAsia="Calibri"/>
          <w:b/>
        </w:rPr>
        <w:t>A</w:t>
      </w:r>
      <w:r w:rsidR="00C25AF2" w:rsidRPr="00C25AF2">
        <w:rPr>
          <w:rFonts w:eastAsia="Calibri"/>
          <w:b/>
        </w:rPr>
        <w:t>rticle</w:t>
      </w:r>
      <w:r w:rsidR="00C25AF2" w:rsidRPr="00157964">
        <w:rPr>
          <w:rFonts w:eastAsia="Calibri"/>
          <w:bCs/>
        </w:rPr>
        <w:t xml:space="preserve"> </w:t>
      </w:r>
      <w:r w:rsidR="00C25AF2" w:rsidRPr="00845782">
        <w:rPr>
          <w:rFonts w:eastAsia="Calibri"/>
          <w:b/>
        </w:rPr>
        <w:t>IV</w:t>
      </w:r>
      <w:r w:rsidR="00C25AF2">
        <w:rPr>
          <w:rFonts w:eastAsia="Calibri"/>
          <w:b/>
        </w:rPr>
        <w:t xml:space="preserve">, Sections (B) </w:t>
      </w:r>
      <w:r w:rsidR="00C25AF2" w:rsidRPr="00AC63FE">
        <w:rPr>
          <w:rFonts w:eastAsia="Calibri"/>
        </w:rPr>
        <w:t xml:space="preserve">and </w:t>
      </w:r>
      <w:r w:rsidR="00C25AF2">
        <w:rPr>
          <w:rFonts w:eastAsia="Calibri"/>
          <w:b/>
        </w:rPr>
        <w:t>(C)</w:t>
      </w:r>
      <w:r w:rsidR="00C25AF2" w:rsidRPr="00845782">
        <w:rPr>
          <w:rFonts w:eastAsia="Calibri"/>
        </w:rPr>
        <w:t xml:space="preserve"> </w:t>
      </w:r>
      <w:r w:rsidR="00C25AF2">
        <w:rPr>
          <w:rFonts w:eastAsia="Calibri"/>
        </w:rPr>
        <w:t>of</w:t>
      </w:r>
      <w:r w:rsidR="00C25AF2" w:rsidRPr="00845782">
        <w:rPr>
          <w:rFonts w:eastAsia="Calibri"/>
        </w:rPr>
        <w:t xml:space="preserve"> the PPA</w:t>
      </w:r>
      <w:r w:rsidR="00C25AF2">
        <w:rPr>
          <w:rFonts w:eastAsia="Calibri"/>
        </w:rPr>
        <w:t xml:space="preserve"> and </w:t>
      </w:r>
      <w:r w:rsidR="00E86174" w:rsidRPr="00E07E9C">
        <w:rPr>
          <w:b/>
          <w:szCs w:val="24"/>
        </w:rPr>
        <w:t>A</w:t>
      </w:r>
      <w:r w:rsidR="004222A2">
        <w:rPr>
          <w:b/>
          <w:szCs w:val="24"/>
        </w:rPr>
        <w:t xml:space="preserve">mendment No. </w:t>
      </w:r>
      <w:r w:rsidR="00E5121E">
        <w:rPr>
          <w:b/>
          <w:szCs w:val="24"/>
        </w:rPr>
        <w:t>3</w:t>
      </w:r>
      <w:r w:rsidR="00E5121E">
        <w:rPr>
          <w:szCs w:val="24"/>
        </w:rPr>
        <w:t xml:space="preserve"> </w:t>
      </w:r>
      <w:r w:rsidR="00E86174">
        <w:rPr>
          <w:szCs w:val="24"/>
        </w:rPr>
        <w:t xml:space="preserve">of the </w:t>
      </w:r>
      <w:r w:rsidR="005949C5">
        <w:rPr>
          <w:szCs w:val="24"/>
        </w:rPr>
        <w:t>PPA</w:t>
      </w:r>
      <w:r>
        <w:rPr>
          <w:szCs w:val="24"/>
        </w:rPr>
        <w:t xml:space="preserve"> for Calendar Year </w:t>
      </w:r>
      <w:r w:rsidR="00E5121E">
        <w:rPr>
          <w:szCs w:val="24"/>
        </w:rPr>
        <w:t>2023</w:t>
      </w:r>
    </w:p>
    <w:p w14:paraId="677DCE0F" w14:textId="77777777" w:rsidR="005949C5" w:rsidRDefault="005949C5" w:rsidP="005949C5">
      <w:pPr>
        <w:pStyle w:val="BodyTextFirstIndent"/>
        <w:keepNext/>
        <w:spacing w:after="0"/>
        <w:ind w:firstLine="0"/>
        <w:jc w:val="center"/>
        <w:rPr>
          <w:szCs w:val="24"/>
        </w:rPr>
      </w:pPr>
    </w:p>
    <w:p w14:paraId="5E3C5B9C" w14:textId="77777777" w:rsidR="005949C5" w:rsidRDefault="005949C5" w:rsidP="00BC14D2">
      <w:pPr>
        <w:pStyle w:val="BodyTextFirstIndent"/>
        <w:keepNext/>
        <w:spacing w:after="0"/>
        <w:ind w:left="4320" w:firstLine="0"/>
        <w:rPr>
          <w:szCs w:val="24"/>
        </w:rPr>
      </w:pPr>
    </w:p>
    <w:p w14:paraId="6057034B" w14:textId="78A6AE7F" w:rsidR="005949C5" w:rsidRPr="008D6360" w:rsidRDefault="005949C5" w:rsidP="005949C5">
      <w:pPr>
        <w:pStyle w:val="BodyTextFirstIndent"/>
        <w:keepNext/>
        <w:spacing w:after="0"/>
        <w:ind w:firstLine="0"/>
        <w:jc w:val="center"/>
        <w:rPr>
          <w:i/>
          <w:szCs w:val="24"/>
        </w:rPr>
      </w:pPr>
      <w:r>
        <w:rPr>
          <w:i/>
          <w:szCs w:val="24"/>
        </w:rPr>
        <w:t xml:space="preserve">Effective </w:t>
      </w:r>
      <w:r w:rsidRPr="008D6360">
        <w:rPr>
          <w:i/>
          <w:szCs w:val="24"/>
        </w:rPr>
        <w:t>on and following J</w:t>
      </w:r>
      <w:r w:rsidR="00E86174" w:rsidRPr="008D6360">
        <w:rPr>
          <w:i/>
          <w:szCs w:val="24"/>
        </w:rPr>
        <w:t xml:space="preserve">anuary </w:t>
      </w:r>
      <w:r w:rsidRPr="008D6360">
        <w:rPr>
          <w:i/>
          <w:szCs w:val="24"/>
        </w:rPr>
        <w:t xml:space="preserve">1, </w:t>
      </w:r>
      <w:r w:rsidR="00E5121E" w:rsidRPr="008D6360">
        <w:rPr>
          <w:i/>
          <w:szCs w:val="24"/>
        </w:rPr>
        <w:t>202</w:t>
      </w:r>
      <w:r w:rsidR="00E5121E">
        <w:rPr>
          <w:i/>
          <w:szCs w:val="24"/>
        </w:rPr>
        <w:t>3</w:t>
      </w:r>
    </w:p>
    <w:p w14:paraId="081A473F" w14:textId="77777777" w:rsidR="005949C5" w:rsidRPr="008D6360" w:rsidRDefault="005949C5" w:rsidP="005949C5">
      <w:pPr>
        <w:pStyle w:val="BodyTextFirstIndent"/>
        <w:keepNext/>
        <w:spacing w:after="0"/>
        <w:ind w:firstLine="0"/>
        <w:jc w:val="center"/>
        <w:rPr>
          <w: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2226"/>
        <w:gridCol w:w="2520"/>
      </w:tblGrid>
      <w:tr w:rsidR="005949C5" w:rsidRPr="008D6360" w14:paraId="46003932" w14:textId="77777777" w:rsidTr="005A2EA2">
        <w:trPr>
          <w:jc w:val="center"/>
        </w:trPr>
        <w:tc>
          <w:tcPr>
            <w:tcW w:w="1914" w:type="dxa"/>
            <w:vAlign w:val="bottom"/>
          </w:tcPr>
          <w:p w14:paraId="097A82F7" w14:textId="77777777" w:rsidR="005949C5" w:rsidRPr="008D6360" w:rsidRDefault="005949C5" w:rsidP="005A2EA2">
            <w:pPr>
              <w:pStyle w:val="BodyText"/>
              <w:spacing w:after="0"/>
              <w:jc w:val="center"/>
              <w:rPr>
                <w:b/>
              </w:rPr>
            </w:pPr>
            <w:r w:rsidRPr="008D6360">
              <w:rPr>
                <w:b/>
              </w:rPr>
              <w:t>Calendar Year</w:t>
            </w:r>
          </w:p>
        </w:tc>
        <w:tc>
          <w:tcPr>
            <w:tcW w:w="2226" w:type="dxa"/>
          </w:tcPr>
          <w:p w14:paraId="3BFEF793" w14:textId="77777777" w:rsidR="005949C5" w:rsidRPr="008D6360" w:rsidRDefault="005949C5" w:rsidP="005A2EA2">
            <w:pPr>
              <w:jc w:val="center"/>
              <w:rPr>
                <w:b/>
              </w:rPr>
            </w:pPr>
            <w:r w:rsidRPr="008D6360">
              <w:rPr>
                <w:b/>
              </w:rPr>
              <w:t>On-Peak Contract Price in ¢/kWh</w:t>
            </w:r>
          </w:p>
        </w:tc>
        <w:tc>
          <w:tcPr>
            <w:tcW w:w="2520" w:type="dxa"/>
          </w:tcPr>
          <w:p w14:paraId="3F6CA4EF" w14:textId="77777777" w:rsidR="005949C5" w:rsidRPr="008D6360" w:rsidRDefault="005949C5" w:rsidP="005A2EA2">
            <w:pPr>
              <w:pStyle w:val="BodyText"/>
              <w:spacing w:after="0"/>
              <w:jc w:val="center"/>
              <w:rPr>
                <w:b/>
              </w:rPr>
            </w:pPr>
            <w:r w:rsidRPr="008D6360">
              <w:rPr>
                <w:b/>
              </w:rPr>
              <w:t>Off-Peak Contract Price in ¢/kWh</w:t>
            </w:r>
          </w:p>
        </w:tc>
      </w:tr>
      <w:tr w:rsidR="005949C5" w:rsidRPr="00004BC6" w14:paraId="15AE161A" w14:textId="77777777" w:rsidTr="005A2EA2">
        <w:trPr>
          <w:jc w:val="center"/>
        </w:trPr>
        <w:tc>
          <w:tcPr>
            <w:tcW w:w="1914" w:type="dxa"/>
          </w:tcPr>
          <w:p w14:paraId="75FDBC37" w14:textId="50D731A6" w:rsidR="005949C5" w:rsidRPr="008D6360" w:rsidRDefault="00E5121E" w:rsidP="005A2EA2">
            <w:pPr>
              <w:pStyle w:val="BodyText"/>
              <w:spacing w:after="0"/>
              <w:jc w:val="center"/>
              <w:rPr>
                <w:b/>
              </w:rPr>
            </w:pPr>
            <w:r w:rsidRPr="008D6360">
              <w:rPr>
                <w:b/>
              </w:rPr>
              <w:t>202</w:t>
            </w:r>
            <w:r>
              <w:rPr>
                <w:b/>
              </w:rPr>
              <w:t>3</w:t>
            </w:r>
          </w:p>
        </w:tc>
        <w:tc>
          <w:tcPr>
            <w:tcW w:w="2226" w:type="dxa"/>
            <w:vAlign w:val="bottom"/>
          </w:tcPr>
          <w:p w14:paraId="222A7B93" w14:textId="256F8470" w:rsidR="005949C5" w:rsidRPr="008D6360" w:rsidRDefault="00E5121E" w:rsidP="00850BF1">
            <w:pPr>
              <w:pStyle w:val="BodyText"/>
              <w:spacing w:after="0"/>
              <w:jc w:val="center"/>
              <w:rPr>
                <w:b/>
              </w:rPr>
            </w:pPr>
            <w:r>
              <w:rPr>
                <w:b/>
              </w:rPr>
              <w:t>7.03</w:t>
            </w:r>
          </w:p>
        </w:tc>
        <w:tc>
          <w:tcPr>
            <w:tcW w:w="2520" w:type="dxa"/>
            <w:vAlign w:val="bottom"/>
          </w:tcPr>
          <w:p w14:paraId="52D377F7" w14:textId="78319B2A" w:rsidR="005949C5" w:rsidRDefault="00E5121E" w:rsidP="00850BF1">
            <w:pPr>
              <w:pStyle w:val="BodyText"/>
              <w:spacing w:after="0"/>
              <w:jc w:val="center"/>
              <w:rPr>
                <w:b/>
              </w:rPr>
            </w:pPr>
            <w:r>
              <w:rPr>
                <w:b/>
              </w:rPr>
              <w:t>4.84</w:t>
            </w:r>
          </w:p>
        </w:tc>
      </w:tr>
    </w:tbl>
    <w:p w14:paraId="732BF0DC" w14:textId="77777777" w:rsidR="005949C5" w:rsidRDefault="005949C5" w:rsidP="006A12FF">
      <w:pPr>
        <w:pStyle w:val="BodyTextFirstIndent"/>
        <w:keepNext/>
        <w:spacing w:after="0"/>
        <w:ind w:firstLine="0"/>
        <w:jc w:val="left"/>
        <w:rPr>
          <w:szCs w:val="24"/>
        </w:rPr>
      </w:pPr>
    </w:p>
    <w:p w14:paraId="5AEEDFC9" w14:textId="77777777" w:rsidR="006A12FF" w:rsidRDefault="006A12FF" w:rsidP="006A12FF">
      <w:pPr>
        <w:pStyle w:val="BodyTextFirstIndent"/>
        <w:keepNext/>
        <w:spacing w:after="0"/>
        <w:ind w:firstLine="0"/>
        <w:jc w:val="left"/>
        <w:rPr>
          <w:szCs w:val="24"/>
        </w:rPr>
      </w:pPr>
    </w:p>
    <w:p w14:paraId="4F846261" w14:textId="0712230D" w:rsidR="008D6360" w:rsidRPr="008D6360" w:rsidRDefault="008D6360" w:rsidP="008D6360">
      <w:pPr>
        <w:pStyle w:val="BodyTextFirstIndent"/>
        <w:keepNext/>
        <w:ind w:firstLine="0"/>
        <w:jc w:val="left"/>
        <w:rPr>
          <w:szCs w:val="24"/>
        </w:rPr>
      </w:pPr>
      <w:r w:rsidRPr="008D6360">
        <w:rPr>
          <w:szCs w:val="24"/>
        </w:rPr>
        <w:t>“Off-Peak Hours” means all hours of the week that are not On-Peak Hours.</w:t>
      </w:r>
    </w:p>
    <w:p w14:paraId="190C15A3" w14:textId="7FDA3BD7" w:rsidR="006A12FF" w:rsidRDefault="008D6360" w:rsidP="008D6360">
      <w:pPr>
        <w:pStyle w:val="BodyTextFirstIndent"/>
        <w:keepNext/>
        <w:spacing w:after="0"/>
        <w:ind w:firstLine="0"/>
        <w:jc w:val="left"/>
        <w:rPr>
          <w:szCs w:val="24"/>
        </w:rPr>
      </w:pPr>
      <w:r w:rsidRPr="008D6360">
        <w:rPr>
          <w:szCs w:val="24"/>
        </w:rPr>
        <w:t>“On-Peak Hours” means the hours between 6 a.m. Pacific Prevailing Time (“PPT”) and 10 p.m. PPT, Mondays through Saturdays, excluding Western Electricity Coordinating Council (WECC) and North American Electric Reliability Corporation (NERC) holidays.</w:t>
      </w:r>
    </w:p>
    <w:sectPr w:rsidR="006A12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AECA9" w14:textId="77777777" w:rsidR="0073485B" w:rsidRDefault="0073485B" w:rsidP="00EC39A4">
      <w:r>
        <w:separator/>
      </w:r>
    </w:p>
  </w:endnote>
  <w:endnote w:type="continuationSeparator" w:id="0">
    <w:p w14:paraId="0C88587B" w14:textId="77777777" w:rsidR="0073485B" w:rsidRDefault="0073485B" w:rsidP="00EC39A4">
      <w:r>
        <w:continuationSeparator/>
      </w:r>
    </w:p>
  </w:endnote>
  <w:endnote w:type="continuationNotice" w:id="1">
    <w:p w14:paraId="3E47F37D" w14:textId="77777777" w:rsidR="0073485B" w:rsidRDefault="00734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446926"/>
      <w:docPartObj>
        <w:docPartGallery w:val="Page Numbers (Bottom of Page)"/>
        <w:docPartUnique/>
      </w:docPartObj>
    </w:sdtPr>
    <w:sdtEndPr>
      <w:rPr>
        <w:noProof/>
      </w:rPr>
    </w:sdtEndPr>
    <w:sdtContent>
      <w:p w14:paraId="2EBBBB4C" w14:textId="4D79134C" w:rsidR="00EC39A4" w:rsidRDefault="00EC39A4">
        <w:pPr>
          <w:pStyle w:val="Footer"/>
          <w:jc w:val="center"/>
        </w:pPr>
        <w:r>
          <w:fldChar w:fldCharType="begin"/>
        </w:r>
        <w:r>
          <w:instrText xml:space="preserve"> PAGE   \* MERGEFORMAT </w:instrText>
        </w:r>
        <w:r>
          <w:fldChar w:fldCharType="separate"/>
        </w:r>
        <w:r w:rsidR="006D7344">
          <w:rPr>
            <w:noProof/>
          </w:rPr>
          <w:t>5</w:t>
        </w:r>
        <w:r>
          <w:rPr>
            <w:noProof/>
          </w:rPr>
          <w:fldChar w:fldCharType="end"/>
        </w:r>
      </w:p>
    </w:sdtContent>
  </w:sdt>
  <w:p w14:paraId="198EC8FE" w14:textId="77777777" w:rsidR="00EC39A4" w:rsidRDefault="00EC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D2629" w14:textId="77777777" w:rsidR="0073485B" w:rsidRDefault="0073485B" w:rsidP="00EC39A4">
      <w:r>
        <w:separator/>
      </w:r>
    </w:p>
  </w:footnote>
  <w:footnote w:type="continuationSeparator" w:id="0">
    <w:p w14:paraId="7FBB2FA3" w14:textId="77777777" w:rsidR="0073485B" w:rsidRDefault="0073485B" w:rsidP="00EC39A4">
      <w:r>
        <w:continuationSeparator/>
      </w:r>
    </w:p>
  </w:footnote>
  <w:footnote w:type="continuationNotice" w:id="1">
    <w:p w14:paraId="10131747" w14:textId="77777777" w:rsidR="0073485B" w:rsidRDefault="0073485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40D7"/>
    <w:multiLevelType w:val="hybridMultilevel"/>
    <w:tmpl w:val="4A98FA7E"/>
    <w:lvl w:ilvl="0" w:tplc="5FE4429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89642C"/>
    <w:multiLevelType w:val="hybridMultilevel"/>
    <w:tmpl w:val="6BC85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67B30"/>
    <w:multiLevelType w:val="hybridMultilevel"/>
    <w:tmpl w:val="DCE8558E"/>
    <w:lvl w:ilvl="0" w:tplc="9AF8AFA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E2E7AE6"/>
    <w:multiLevelType w:val="hybridMultilevel"/>
    <w:tmpl w:val="DB24B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0B1A10"/>
    <w:multiLevelType w:val="hybridMultilevel"/>
    <w:tmpl w:val="CF2684FE"/>
    <w:lvl w:ilvl="0" w:tplc="AD506B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E000C0"/>
    <w:multiLevelType w:val="hybridMultilevel"/>
    <w:tmpl w:val="0C2C358E"/>
    <w:lvl w:ilvl="0" w:tplc="17B6FB94">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A0"/>
    <w:rsid w:val="0000501F"/>
    <w:rsid w:val="000128E7"/>
    <w:rsid w:val="00037E36"/>
    <w:rsid w:val="00040AB0"/>
    <w:rsid w:val="00077079"/>
    <w:rsid w:val="000818DD"/>
    <w:rsid w:val="00087ECB"/>
    <w:rsid w:val="000B2945"/>
    <w:rsid w:val="000C430F"/>
    <w:rsid w:val="000F2ECC"/>
    <w:rsid w:val="000F5238"/>
    <w:rsid w:val="000F63C5"/>
    <w:rsid w:val="0010062D"/>
    <w:rsid w:val="00102B6E"/>
    <w:rsid w:val="001271A5"/>
    <w:rsid w:val="001464FE"/>
    <w:rsid w:val="001611A5"/>
    <w:rsid w:val="001829B4"/>
    <w:rsid w:val="001913A4"/>
    <w:rsid w:val="0019297A"/>
    <w:rsid w:val="001B451B"/>
    <w:rsid w:val="001C0000"/>
    <w:rsid w:val="001C7DD8"/>
    <w:rsid w:val="001F5F6D"/>
    <w:rsid w:val="00212DF0"/>
    <w:rsid w:val="00213266"/>
    <w:rsid w:val="0021574C"/>
    <w:rsid w:val="00221C53"/>
    <w:rsid w:val="0024773C"/>
    <w:rsid w:val="00274D80"/>
    <w:rsid w:val="002A572D"/>
    <w:rsid w:val="002B78B3"/>
    <w:rsid w:val="002D0640"/>
    <w:rsid w:val="002F7A59"/>
    <w:rsid w:val="00306F65"/>
    <w:rsid w:val="00314531"/>
    <w:rsid w:val="003164DC"/>
    <w:rsid w:val="00321EC8"/>
    <w:rsid w:val="003257FA"/>
    <w:rsid w:val="003456F9"/>
    <w:rsid w:val="003466BD"/>
    <w:rsid w:val="00387E89"/>
    <w:rsid w:val="003D3D8D"/>
    <w:rsid w:val="0041490C"/>
    <w:rsid w:val="004222A2"/>
    <w:rsid w:val="00427CBF"/>
    <w:rsid w:val="004B433F"/>
    <w:rsid w:val="004C2B54"/>
    <w:rsid w:val="004C34DF"/>
    <w:rsid w:val="004D23F7"/>
    <w:rsid w:val="004E2691"/>
    <w:rsid w:val="004F39C1"/>
    <w:rsid w:val="004F6BF1"/>
    <w:rsid w:val="00540018"/>
    <w:rsid w:val="005736C0"/>
    <w:rsid w:val="005850B2"/>
    <w:rsid w:val="005949C5"/>
    <w:rsid w:val="005A0035"/>
    <w:rsid w:val="005A2616"/>
    <w:rsid w:val="005D08B6"/>
    <w:rsid w:val="00600B85"/>
    <w:rsid w:val="00604AE3"/>
    <w:rsid w:val="00604DCA"/>
    <w:rsid w:val="006A12FF"/>
    <w:rsid w:val="006B1B8F"/>
    <w:rsid w:val="006D300D"/>
    <w:rsid w:val="006D7344"/>
    <w:rsid w:val="006E37F1"/>
    <w:rsid w:val="006E7D6A"/>
    <w:rsid w:val="006F6507"/>
    <w:rsid w:val="00702B4F"/>
    <w:rsid w:val="00707051"/>
    <w:rsid w:val="00712311"/>
    <w:rsid w:val="00717711"/>
    <w:rsid w:val="00727705"/>
    <w:rsid w:val="0073485B"/>
    <w:rsid w:val="0073681C"/>
    <w:rsid w:val="00741221"/>
    <w:rsid w:val="007552EA"/>
    <w:rsid w:val="00782B6D"/>
    <w:rsid w:val="007B5ABA"/>
    <w:rsid w:val="007C30E3"/>
    <w:rsid w:val="007C6866"/>
    <w:rsid w:val="007E24AF"/>
    <w:rsid w:val="00800671"/>
    <w:rsid w:val="008048AD"/>
    <w:rsid w:val="00835F64"/>
    <w:rsid w:val="00845782"/>
    <w:rsid w:val="00850BF1"/>
    <w:rsid w:val="0088119F"/>
    <w:rsid w:val="008823B7"/>
    <w:rsid w:val="008B6751"/>
    <w:rsid w:val="008C67A0"/>
    <w:rsid w:val="008D6360"/>
    <w:rsid w:val="00933F93"/>
    <w:rsid w:val="009672C4"/>
    <w:rsid w:val="00992F3A"/>
    <w:rsid w:val="009A62E4"/>
    <w:rsid w:val="009A6B9D"/>
    <w:rsid w:val="009D0CBE"/>
    <w:rsid w:val="009F7750"/>
    <w:rsid w:val="00A05A96"/>
    <w:rsid w:val="00A16671"/>
    <w:rsid w:val="00A26808"/>
    <w:rsid w:val="00A73087"/>
    <w:rsid w:val="00AB0A4C"/>
    <w:rsid w:val="00AC63FE"/>
    <w:rsid w:val="00AE4C2C"/>
    <w:rsid w:val="00AF2815"/>
    <w:rsid w:val="00B04427"/>
    <w:rsid w:val="00B14BA2"/>
    <w:rsid w:val="00B154CA"/>
    <w:rsid w:val="00B15A8F"/>
    <w:rsid w:val="00B5154D"/>
    <w:rsid w:val="00B57107"/>
    <w:rsid w:val="00B571EC"/>
    <w:rsid w:val="00B679CF"/>
    <w:rsid w:val="00BA08B0"/>
    <w:rsid w:val="00BC14D2"/>
    <w:rsid w:val="00BC1F51"/>
    <w:rsid w:val="00BD00D0"/>
    <w:rsid w:val="00C01FDF"/>
    <w:rsid w:val="00C25AF2"/>
    <w:rsid w:val="00C302FE"/>
    <w:rsid w:val="00C3485A"/>
    <w:rsid w:val="00C74620"/>
    <w:rsid w:val="00C7667A"/>
    <w:rsid w:val="00C7700F"/>
    <w:rsid w:val="00C800E1"/>
    <w:rsid w:val="00C82A00"/>
    <w:rsid w:val="00C9740B"/>
    <w:rsid w:val="00CC162E"/>
    <w:rsid w:val="00CF5F31"/>
    <w:rsid w:val="00D40497"/>
    <w:rsid w:val="00D56ACB"/>
    <w:rsid w:val="00D70474"/>
    <w:rsid w:val="00DA073B"/>
    <w:rsid w:val="00DB5489"/>
    <w:rsid w:val="00DC11C5"/>
    <w:rsid w:val="00DE5582"/>
    <w:rsid w:val="00DE5E31"/>
    <w:rsid w:val="00E07E9C"/>
    <w:rsid w:val="00E15478"/>
    <w:rsid w:val="00E204BD"/>
    <w:rsid w:val="00E24B8C"/>
    <w:rsid w:val="00E3204F"/>
    <w:rsid w:val="00E32ECD"/>
    <w:rsid w:val="00E5121E"/>
    <w:rsid w:val="00E57E37"/>
    <w:rsid w:val="00E659E4"/>
    <w:rsid w:val="00E82E44"/>
    <w:rsid w:val="00E86174"/>
    <w:rsid w:val="00E93F55"/>
    <w:rsid w:val="00EA1067"/>
    <w:rsid w:val="00EA1C6B"/>
    <w:rsid w:val="00EA31F7"/>
    <w:rsid w:val="00EC39A4"/>
    <w:rsid w:val="00EF7CAE"/>
    <w:rsid w:val="00F2236F"/>
    <w:rsid w:val="00F24607"/>
    <w:rsid w:val="00F33593"/>
    <w:rsid w:val="00F6338D"/>
    <w:rsid w:val="00F91271"/>
    <w:rsid w:val="00F960A6"/>
    <w:rsid w:val="00FA0DFA"/>
    <w:rsid w:val="00FA0EF7"/>
    <w:rsid w:val="00FA4588"/>
    <w:rsid w:val="00FB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32A734"/>
  <w15:docId w15:val="{1B8DBD57-B798-49FF-86FD-70E2F6A9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7A0"/>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C67A0"/>
    <w:pPr>
      <w:spacing w:after="120"/>
    </w:pPr>
  </w:style>
  <w:style w:type="character" w:customStyle="1" w:styleId="BodyTextChar">
    <w:name w:val="Body Text Char"/>
    <w:basedOn w:val="DefaultParagraphFont"/>
    <w:link w:val="BodyText"/>
    <w:uiPriority w:val="99"/>
    <w:rsid w:val="008C67A0"/>
    <w:rPr>
      <w:rFonts w:ascii="Times New Roman" w:eastAsia="Times New Roman" w:hAnsi="Times New Roman" w:cs="Times New Roman"/>
      <w:sz w:val="24"/>
      <w:szCs w:val="20"/>
    </w:rPr>
  </w:style>
  <w:style w:type="paragraph" w:styleId="BodyTextFirstIndent">
    <w:name w:val="Body Text First Indent"/>
    <w:basedOn w:val="BodyText"/>
    <w:link w:val="BodyTextFirstIndentChar"/>
    <w:rsid w:val="008C67A0"/>
    <w:pPr>
      <w:spacing w:after="240"/>
      <w:ind w:firstLine="1426"/>
    </w:pPr>
  </w:style>
  <w:style w:type="character" w:customStyle="1" w:styleId="BodyTextFirstIndentChar">
    <w:name w:val="Body Text First Indent Char"/>
    <w:basedOn w:val="BodyTextChar"/>
    <w:link w:val="BodyTextFirstIndent"/>
    <w:rsid w:val="008C67A0"/>
    <w:rPr>
      <w:rFonts w:ascii="Times New Roman" w:eastAsia="Times New Roman" w:hAnsi="Times New Roman" w:cs="Times New Roman"/>
      <w:sz w:val="24"/>
      <w:szCs w:val="20"/>
    </w:rPr>
  </w:style>
  <w:style w:type="paragraph" w:customStyle="1" w:styleId="00BodyText1">
    <w:name w:val="00 Body Text 1"/>
    <w:basedOn w:val="Normal"/>
    <w:qFormat/>
    <w:rsid w:val="008C67A0"/>
    <w:pPr>
      <w:spacing w:after="240"/>
      <w:ind w:firstLine="1440"/>
      <w:jc w:val="left"/>
    </w:pPr>
    <w:rPr>
      <w:rFonts w:eastAsiaTheme="minorHAnsi" w:cstheme="minorBidi"/>
      <w:szCs w:val="24"/>
    </w:rPr>
  </w:style>
  <w:style w:type="character" w:styleId="CommentReference">
    <w:name w:val="annotation reference"/>
    <w:basedOn w:val="DefaultParagraphFont"/>
    <w:uiPriority w:val="99"/>
    <w:semiHidden/>
    <w:unhideWhenUsed/>
    <w:rsid w:val="007E24AF"/>
    <w:rPr>
      <w:sz w:val="16"/>
      <w:szCs w:val="16"/>
    </w:rPr>
  </w:style>
  <w:style w:type="paragraph" w:styleId="CommentText">
    <w:name w:val="annotation text"/>
    <w:basedOn w:val="Normal"/>
    <w:link w:val="CommentTextChar"/>
    <w:uiPriority w:val="99"/>
    <w:semiHidden/>
    <w:unhideWhenUsed/>
    <w:rsid w:val="007E24AF"/>
    <w:rPr>
      <w:sz w:val="20"/>
    </w:rPr>
  </w:style>
  <w:style w:type="character" w:customStyle="1" w:styleId="CommentTextChar">
    <w:name w:val="Comment Text Char"/>
    <w:basedOn w:val="DefaultParagraphFont"/>
    <w:link w:val="CommentText"/>
    <w:uiPriority w:val="99"/>
    <w:semiHidden/>
    <w:rsid w:val="007E24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24AF"/>
    <w:rPr>
      <w:b/>
      <w:bCs/>
    </w:rPr>
  </w:style>
  <w:style w:type="character" w:customStyle="1" w:styleId="CommentSubjectChar">
    <w:name w:val="Comment Subject Char"/>
    <w:basedOn w:val="CommentTextChar"/>
    <w:link w:val="CommentSubject"/>
    <w:uiPriority w:val="99"/>
    <w:semiHidden/>
    <w:rsid w:val="007E24A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E2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4AF"/>
    <w:rPr>
      <w:rFonts w:ascii="Segoe UI" w:eastAsia="Times New Roman" w:hAnsi="Segoe UI" w:cs="Segoe UI"/>
      <w:sz w:val="18"/>
      <w:szCs w:val="18"/>
    </w:rPr>
  </w:style>
  <w:style w:type="paragraph" w:styleId="ListParagraph">
    <w:name w:val="List Paragraph"/>
    <w:basedOn w:val="Normal"/>
    <w:uiPriority w:val="34"/>
    <w:qFormat/>
    <w:rsid w:val="00717711"/>
    <w:pPr>
      <w:ind w:left="720"/>
      <w:contextualSpacing/>
    </w:pPr>
  </w:style>
  <w:style w:type="paragraph" w:styleId="BodyTextIndent2">
    <w:name w:val="Body Text Indent 2"/>
    <w:basedOn w:val="Normal"/>
    <w:link w:val="BodyTextIndent2Char"/>
    <w:uiPriority w:val="99"/>
    <w:semiHidden/>
    <w:unhideWhenUsed/>
    <w:rsid w:val="007C6866"/>
    <w:pPr>
      <w:spacing w:after="120" w:line="480" w:lineRule="auto"/>
      <w:ind w:left="360"/>
    </w:pPr>
  </w:style>
  <w:style w:type="character" w:customStyle="1" w:styleId="BodyTextIndent2Char">
    <w:name w:val="Body Text Indent 2 Char"/>
    <w:basedOn w:val="DefaultParagraphFont"/>
    <w:link w:val="BodyTextIndent2"/>
    <w:uiPriority w:val="99"/>
    <w:semiHidden/>
    <w:rsid w:val="007C6866"/>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C39A4"/>
    <w:pPr>
      <w:tabs>
        <w:tab w:val="center" w:pos="4680"/>
        <w:tab w:val="right" w:pos="9360"/>
      </w:tabs>
    </w:pPr>
  </w:style>
  <w:style w:type="character" w:customStyle="1" w:styleId="HeaderChar">
    <w:name w:val="Header Char"/>
    <w:basedOn w:val="DefaultParagraphFont"/>
    <w:link w:val="Header"/>
    <w:uiPriority w:val="99"/>
    <w:rsid w:val="00EC39A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C39A4"/>
    <w:pPr>
      <w:tabs>
        <w:tab w:val="center" w:pos="4680"/>
        <w:tab w:val="right" w:pos="9360"/>
      </w:tabs>
    </w:pPr>
  </w:style>
  <w:style w:type="character" w:customStyle="1" w:styleId="FooterChar">
    <w:name w:val="Footer Char"/>
    <w:basedOn w:val="DefaultParagraphFont"/>
    <w:link w:val="Footer"/>
    <w:uiPriority w:val="99"/>
    <w:rsid w:val="00EC39A4"/>
    <w:rPr>
      <w:rFonts w:ascii="Times New Roman" w:eastAsia="Times New Roman" w:hAnsi="Times New Roman" w:cs="Times New Roman"/>
      <w:sz w:val="24"/>
      <w:szCs w:val="20"/>
    </w:rPr>
  </w:style>
  <w:style w:type="character" w:styleId="Hyperlink">
    <w:name w:val="Hyperlink"/>
    <w:rsid w:val="006A12FF"/>
    <w:rPr>
      <w:color w:val="0000FF"/>
      <w:u w:val="single"/>
    </w:rPr>
  </w:style>
  <w:style w:type="paragraph" w:customStyle="1" w:styleId="PROPSTY">
    <w:name w:val="PROP.STY"/>
    <w:rsid w:val="004D23F7"/>
    <w:pPr>
      <w:widowControl w:val="0"/>
      <w:tabs>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uppressAutoHyphens/>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992F3A"/>
    <w:pPr>
      <w:spacing w:before="100" w:beforeAutospacing="1" w:after="100" w:afterAutospacing="1"/>
      <w:jc w:val="left"/>
    </w:pPr>
    <w:rPr>
      <w:rFonts w:eastAsiaTheme="minorHAnsi"/>
      <w:szCs w:val="24"/>
    </w:rPr>
  </w:style>
  <w:style w:type="character" w:customStyle="1" w:styleId="cite">
    <w:name w:val="cite"/>
    <w:basedOn w:val="DefaultParagraphFont"/>
    <w:rsid w:val="00992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237056">
      <w:bodyDiv w:val="1"/>
      <w:marLeft w:val="0"/>
      <w:marRight w:val="0"/>
      <w:marTop w:val="0"/>
      <w:marBottom w:val="0"/>
      <w:divBdr>
        <w:top w:val="none" w:sz="0" w:space="0" w:color="auto"/>
        <w:left w:val="none" w:sz="0" w:space="0" w:color="auto"/>
        <w:bottom w:val="none" w:sz="0" w:space="0" w:color="auto"/>
        <w:right w:val="none" w:sz="0" w:space="0" w:color="auto"/>
      </w:divBdr>
    </w:div>
    <w:div w:id="19541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B65CD-E027-4094-B7C5-9A1C06ED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SolarCity</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SCTY Legal</dc:creator>
  <cp:lastModifiedBy>Joy Hall</cp:lastModifiedBy>
  <cp:revision>3</cp:revision>
  <cp:lastPrinted>2020-10-20T15:43:00Z</cp:lastPrinted>
  <dcterms:created xsi:type="dcterms:W3CDTF">2022-12-19T16:55:00Z</dcterms:created>
  <dcterms:modified xsi:type="dcterms:W3CDTF">2022-12-19T16:55:00Z</dcterms:modified>
</cp:coreProperties>
</file>