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D0D93" w14:textId="77777777" w:rsidR="00EE6BED" w:rsidRPr="00EE6BED" w:rsidRDefault="00EE6BED" w:rsidP="00EE6BED">
      <w:pPr>
        <w:jc w:val="center"/>
        <w:rPr>
          <w:rFonts w:ascii="Arial" w:hAnsi="Arial" w:cs="Arial"/>
          <w:b/>
          <w:bCs/>
          <w:sz w:val="24"/>
          <w:szCs w:val="24"/>
        </w:rPr>
      </w:pPr>
      <w:r w:rsidRPr="00EE6BED">
        <w:rPr>
          <w:rFonts w:ascii="Arial" w:hAnsi="Arial" w:cs="Arial"/>
          <w:b/>
          <w:bCs/>
          <w:sz w:val="24"/>
          <w:szCs w:val="24"/>
        </w:rPr>
        <w:t>Custom Crushing Industries, Inc. Concrete and Asphalt Recycling Facility</w:t>
      </w:r>
    </w:p>
    <w:p w14:paraId="701E93A5" w14:textId="77777777" w:rsidR="00EE6BED" w:rsidRPr="00EE6BED" w:rsidRDefault="00EE6BED" w:rsidP="00EE6BED">
      <w:pPr>
        <w:jc w:val="center"/>
        <w:rPr>
          <w:rFonts w:ascii="Arial" w:hAnsi="Arial" w:cs="Arial"/>
          <w:b/>
          <w:bCs/>
          <w:sz w:val="24"/>
          <w:szCs w:val="24"/>
        </w:rPr>
      </w:pPr>
      <w:r w:rsidRPr="00EE6BED">
        <w:rPr>
          <w:rFonts w:ascii="Arial" w:hAnsi="Arial" w:cs="Arial"/>
          <w:b/>
          <w:bCs/>
          <w:sz w:val="24"/>
          <w:szCs w:val="24"/>
        </w:rPr>
        <w:t>(Goodwin Zone Change and Use Permit)</w:t>
      </w:r>
    </w:p>
    <w:p w14:paraId="60131993" w14:textId="66EBAF54" w:rsidR="00EE6BED" w:rsidRDefault="00EE6BED" w:rsidP="00EE6BED">
      <w:pPr>
        <w:jc w:val="center"/>
        <w:rPr>
          <w:rFonts w:ascii="Arial" w:hAnsi="Arial" w:cs="Arial"/>
          <w:b/>
          <w:bCs/>
          <w:sz w:val="24"/>
          <w:szCs w:val="24"/>
        </w:rPr>
      </w:pPr>
      <w:r w:rsidRPr="00EE6BED">
        <w:rPr>
          <w:rFonts w:ascii="Arial" w:hAnsi="Arial" w:cs="Arial"/>
          <w:b/>
          <w:bCs/>
          <w:sz w:val="24"/>
          <w:szCs w:val="24"/>
        </w:rPr>
        <w:t>APNs 013-120-320 and 013-120-330</w:t>
      </w:r>
    </w:p>
    <w:p w14:paraId="7AB225D2" w14:textId="562EDBC9" w:rsidR="00CB6E29" w:rsidRPr="00EE6BED" w:rsidRDefault="00CB6E29" w:rsidP="00EE6BED">
      <w:pPr>
        <w:jc w:val="center"/>
        <w:rPr>
          <w:rFonts w:ascii="Arial" w:hAnsi="Arial" w:cs="Arial"/>
          <w:b/>
          <w:bCs/>
          <w:sz w:val="24"/>
          <w:szCs w:val="24"/>
          <w:u w:val="single"/>
        </w:rPr>
      </w:pPr>
      <w:r w:rsidRPr="00CB6E29">
        <w:rPr>
          <w:rFonts w:ascii="Arial" w:hAnsi="Arial" w:cs="Arial"/>
          <w:b/>
          <w:bCs/>
          <w:sz w:val="24"/>
          <w:szCs w:val="24"/>
          <w:u w:val="single"/>
        </w:rPr>
        <w:t>Mitigation Monitoring</w:t>
      </w:r>
      <w:r w:rsidR="00EC1756">
        <w:rPr>
          <w:rFonts w:ascii="Arial" w:hAnsi="Arial" w:cs="Arial"/>
          <w:b/>
          <w:bCs/>
          <w:sz w:val="24"/>
          <w:szCs w:val="24"/>
          <w:u w:val="single"/>
        </w:rPr>
        <w:t xml:space="preserve"> or</w:t>
      </w:r>
      <w:bookmarkStart w:id="0" w:name="_GoBack"/>
      <w:bookmarkEnd w:id="0"/>
      <w:r w:rsidRPr="00CB6E29">
        <w:rPr>
          <w:rFonts w:ascii="Arial" w:hAnsi="Arial" w:cs="Arial"/>
          <w:b/>
          <w:bCs/>
          <w:sz w:val="24"/>
          <w:szCs w:val="24"/>
          <w:u w:val="single"/>
        </w:rPr>
        <w:t xml:space="preserve"> Reporting Program</w:t>
      </w:r>
    </w:p>
    <w:tbl>
      <w:tblPr>
        <w:tblStyle w:val="TableGrid"/>
        <w:tblW w:w="0" w:type="auto"/>
        <w:tblLook w:val="04A0" w:firstRow="1" w:lastRow="0" w:firstColumn="1" w:lastColumn="0" w:noHBand="0" w:noVBand="1"/>
      </w:tblPr>
      <w:tblGrid>
        <w:gridCol w:w="10996"/>
        <w:gridCol w:w="1271"/>
        <w:gridCol w:w="4083"/>
        <w:gridCol w:w="2486"/>
        <w:gridCol w:w="1447"/>
        <w:gridCol w:w="1533"/>
      </w:tblGrid>
      <w:tr w:rsidR="0016712B" w:rsidRPr="00EE6BED" w14:paraId="0B819803" w14:textId="77777777" w:rsidTr="00EE6BED">
        <w:trPr>
          <w:trHeight w:val="1769"/>
        </w:trPr>
        <w:tc>
          <w:tcPr>
            <w:tcW w:w="0" w:type="auto"/>
          </w:tcPr>
          <w:p w14:paraId="7F54CC4F" w14:textId="5C9982F4" w:rsidR="0016712B" w:rsidRPr="00EE6BED" w:rsidRDefault="0016712B">
            <w:pPr>
              <w:rPr>
                <w:rFonts w:ascii="Arial" w:hAnsi="Arial" w:cs="Arial"/>
                <w:b/>
                <w:bCs/>
              </w:rPr>
            </w:pPr>
            <w:r w:rsidRPr="00EE6BED">
              <w:rPr>
                <w:rFonts w:ascii="Arial" w:hAnsi="Arial" w:cs="Arial"/>
                <w:b/>
                <w:bCs/>
              </w:rPr>
              <w:t>Condition/Mitigation Measure</w:t>
            </w:r>
          </w:p>
        </w:tc>
        <w:tc>
          <w:tcPr>
            <w:tcW w:w="0" w:type="auto"/>
          </w:tcPr>
          <w:p w14:paraId="732EF166" w14:textId="7503EB15" w:rsidR="0016712B" w:rsidRPr="00EE6BED" w:rsidRDefault="0016712B">
            <w:pPr>
              <w:rPr>
                <w:rFonts w:ascii="Arial" w:hAnsi="Arial" w:cs="Arial"/>
                <w:b/>
                <w:bCs/>
              </w:rPr>
            </w:pPr>
            <w:r w:rsidRPr="00EE6BED">
              <w:rPr>
                <w:rFonts w:ascii="Arial" w:hAnsi="Arial" w:cs="Arial"/>
                <w:b/>
                <w:bCs/>
              </w:rPr>
              <w:t>Timing</w:t>
            </w:r>
          </w:p>
        </w:tc>
        <w:tc>
          <w:tcPr>
            <w:tcW w:w="0" w:type="auto"/>
          </w:tcPr>
          <w:p w14:paraId="6AEFDC40" w14:textId="789324EE" w:rsidR="0016712B" w:rsidRPr="00EE6BED" w:rsidRDefault="0016712B">
            <w:pPr>
              <w:rPr>
                <w:rFonts w:ascii="Arial" w:hAnsi="Arial" w:cs="Arial"/>
                <w:b/>
                <w:bCs/>
              </w:rPr>
            </w:pPr>
            <w:r w:rsidRPr="00EE6BED">
              <w:rPr>
                <w:rFonts w:ascii="Arial" w:hAnsi="Arial" w:cs="Arial"/>
                <w:b/>
                <w:bCs/>
              </w:rPr>
              <w:t>Responsible for Implementing Mitigations and Conditions</w:t>
            </w:r>
          </w:p>
        </w:tc>
        <w:tc>
          <w:tcPr>
            <w:tcW w:w="0" w:type="auto"/>
          </w:tcPr>
          <w:p w14:paraId="0EE16961" w14:textId="7017DB67" w:rsidR="0016712B" w:rsidRPr="00EE6BED" w:rsidRDefault="0016712B">
            <w:pPr>
              <w:rPr>
                <w:rFonts w:ascii="Arial" w:hAnsi="Arial" w:cs="Arial"/>
                <w:b/>
                <w:bCs/>
              </w:rPr>
            </w:pPr>
            <w:r w:rsidRPr="00EE6BED">
              <w:rPr>
                <w:rFonts w:ascii="Arial" w:hAnsi="Arial" w:cs="Arial"/>
                <w:b/>
                <w:bCs/>
              </w:rPr>
              <w:t>Responsible for Insuring Implementation</w:t>
            </w:r>
          </w:p>
        </w:tc>
        <w:tc>
          <w:tcPr>
            <w:tcW w:w="0" w:type="auto"/>
          </w:tcPr>
          <w:p w14:paraId="72C854DE" w14:textId="105EB360" w:rsidR="0016712B" w:rsidRPr="00EE6BED" w:rsidRDefault="0016712B">
            <w:pPr>
              <w:rPr>
                <w:rFonts w:ascii="Arial" w:hAnsi="Arial" w:cs="Arial"/>
                <w:b/>
                <w:bCs/>
              </w:rPr>
            </w:pPr>
            <w:r w:rsidRPr="00EE6BED">
              <w:rPr>
                <w:rFonts w:ascii="Arial" w:hAnsi="Arial" w:cs="Arial"/>
                <w:b/>
                <w:bCs/>
              </w:rPr>
              <w:t>Date Completed</w:t>
            </w:r>
          </w:p>
        </w:tc>
        <w:tc>
          <w:tcPr>
            <w:tcW w:w="0" w:type="auto"/>
          </w:tcPr>
          <w:p w14:paraId="0A6CD059" w14:textId="5FF13894" w:rsidR="0016712B" w:rsidRPr="00EE6BED" w:rsidRDefault="0016712B">
            <w:pPr>
              <w:rPr>
                <w:rFonts w:ascii="Arial" w:hAnsi="Arial" w:cs="Arial"/>
                <w:b/>
                <w:bCs/>
              </w:rPr>
            </w:pPr>
            <w:r w:rsidRPr="00EE6BED">
              <w:rPr>
                <w:rFonts w:ascii="Arial" w:hAnsi="Arial" w:cs="Arial"/>
                <w:b/>
                <w:bCs/>
              </w:rPr>
              <w:t>Status / Comments</w:t>
            </w:r>
          </w:p>
        </w:tc>
      </w:tr>
      <w:tr w:rsidR="0016712B" w:rsidRPr="00EE6BED" w14:paraId="6BC3BD41" w14:textId="77777777" w:rsidTr="0016712B">
        <w:trPr>
          <w:trHeight w:val="305"/>
        </w:trPr>
        <w:tc>
          <w:tcPr>
            <w:tcW w:w="0" w:type="auto"/>
            <w:gridSpan w:val="6"/>
          </w:tcPr>
          <w:p w14:paraId="5B15BB6A" w14:textId="6338E98E" w:rsidR="0016712B" w:rsidRPr="00EE6BED" w:rsidRDefault="0016712B">
            <w:pPr>
              <w:rPr>
                <w:rFonts w:ascii="Arial" w:hAnsi="Arial" w:cs="Arial"/>
                <w:b/>
                <w:bCs/>
              </w:rPr>
            </w:pPr>
            <w:r>
              <w:rPr>
                <w:rFonts w:ascii="Arial" w:hAnsi="Arial" w:cs="Arial"/>
                <w:b/>
                <w:bCs/>
              </w:rPr>
              <w:t>Biological Resources</w:t>
            </w:r>
          </w:p>
        </w:tc>
      </w:tr>
      <w:tr w:rsidR="0016712B" w:rsidRPr="00EE6BED" w14:paraId="4D04BAD5" w14:textId="77777777" w:rsidTr="00EE6BED">
        <w:trPr>
          <w:trHeight w:val="4432"/>
        </w:trPr>
        <w:tc>
          <w:tcPr>
            <w:tcW w:w="0" w:type="auto"/>
          </w:tcPr>
          <w:p w14:paraId="678DE2F6" w14:textId="44AF6B08" w:rsidR="0016712B" w:rsidRPr="00EE6BED" w:rsidRDefault="0016712B" w:rsidP="00EE6BED">
            <w:pPr>
              <w:rPr>
                <w:rFonts w:ascii="Arial" w:hAnsi="Arial" w:cs="Arial"/>
                <w:b/>
                <w:bCs/>
              </w:rPr>
            </w:pPr>
            <w:r w:rsidRPr="00EE6BED">
              <w:rPr>
                <w:rFonts w:ascii="Arial" w:hAnsi="Arial" w:cs="Arial"/>
                <w:b/>
                <w:bCs/>
              </w:rPr>
              <w:t xml:space="preserve">Mitigation Measure BIO-1 (Wetland Buffer): </w:t>
            </w:r>
          </w:p>
          <w:p w14:paraId="498251E3" w14:textId="3382EFDD" w:rsidR="0016712B" w:rsidRPr="00EE6BED" w:rsidRDefault="0016712B" w:rsidP="00EE6BED">
            <w:pPr>
              <w:numPr>
                <w:ilvl w:val="0"/>
                <w:numId w:val="1"/>
              </w:numPr>
              <w:rPr>
                <w:rFonts w:ascii="Arial" w:hAnsi="Arial" w:cs="Arial"/>
              </w:rPr>
            </w:pPr>
            <w:r w:rsidRPr="00EE6BED">
              <w:rPr>
                <w:rFonts w:ascii="Arial" w:hAnsi="Arial" w:cs="Arial"/>
              </w:rPr>
              <w:t>Any ground-disturbing activities would be restricted to areas outside of a buffer zone around any water courses onsite. Typically, ephemeral drainages require a 50-foot setback.</w:t>
            </w:r>
          </w:p>
        </w:tc>
        <w:tc>
          <w:tcPr>
            <w:tcW w:w="0" w:type="auto"/>
          </w:tcPr>
          <w:p w14:paraId="278C4769" w14:textId="0972F276" w:rsidR="0016712B" w:rsidRPr="00EE6BED" w:rsidRDefault="0016712B">
            <w:pPr>
              <w:rPr>
                <w:rFonts w:ascii="Arial" w:hAnsi="Arial" w:cs="Arial"/>
              </w:rPr>
            </w:pPr>
            <w:r>
              <w:rPr>
                <w:rFonts w:ascii="Arial" w:hAnsi="Arial" w:cs="Arial"/>
              </w:rPr>
              <w:t>Duration of project</w:t>
            </w:r>
          </w:p>
        </w:tc>
        <w:tc>
          <w:tcPr>
            <w:tcW w:w="0" w:type="auto"/>
          </w:tcPr>
          <w:p w14:paraId="4B9C47BB" w14:textId="346055B5" w:rsidR="0016712B" w:rsidRPr="00EE6BED" w:rsidRDefault="0016712B">
            <w:pPr>
              <w:rPr>
                <w:rFonts w:ascii="Arial" w:hAnsi="Arial" w:cs="Arial"/>
              </w:rPr>
            </w:pPr>
            <w:r>
              <w:rPr>
                <w:rFonts w:ascii="Arial" w:hAnsi="Arial" w:cs="Arial"/>
              </w:rPr>
              <w:t>Applicant/Biologist/Environmental Scientist</w:t>
            </w:r>
          </w:p>
        </w:tc>
        <w:tc>
          <w:tcPr>
            <w:tcW w:w="0" w:type="auto"/>
          </w:tcPr>
          <w:p w14:paraId="4578C0CD" w14:textId="7AE9A548" w:rsidR="0016712B" w:rsidRPr="00EE6BED" w:rsidRDefault="0016712B">
            <w:pPr>
              <w:rPr>
                <w:rFonts w:ascii="Arial" w:hAnsi="Arial" w:cs="Arial"/>
              </w:rPr>
            </w:pPr>
            <w:r>
              <w:rPr>
                <w:rFonts w:ascii="Arial" w:hAnsi="Arial" w:cs="Arial"/>
              </w:rPr>
              <w:t>County</w:t>
            </w:r>
          </w:p>
        </w:tc>
        <w:tc>
          <w:tcPr>
            <w:tcW w:w="0" w:type="auto"/>
          </w:tcPr>
          <w:p w14:paraId="643E6C30" w14:textId="77777777" w:rsidR="0016712B" w:rsidRPr="00EE6BED" w:rsidRDefault="0016712B">
            <w:pPr>
              <w:rPr>
                <w:rFonts w:ascii="Arial" w:hAnsi="Arial" w:cs="Arial"/>
              </w:rPr>
            </w:pPr>
          </w:p>
        </w:tc>
        <w:tc>
          <w:tcPr>
            <w:tcW w:w="0" w:type="auto"/>
          </w:tcPr>
          <w:p w14:paraId="49C95D15" w14:textId="77777777" w:rsidR="0016712B" w:rsidRPr="00EE6BED" w:rsidRDefault="0016712B">
            <w:pPr>
              <w:rPr>
                <w:rFonts w:ascii="Arial" w:hAnsi="Arial" w:cs="Arial"/>
              </w:rPr>
            </w:pPr>
          </w:p>
        </w:tc>
      </w:tr>
      <w:tr w:rsidR="0016712B" w:rsidRPr="00EE6BED" w14:paraId="04A37EF1" w14:textId="77777777" w:rsidTr="00EE6BED">
        <w:trPr>
          <w:trHeight w:val="274"/>
        </w:trPr>
        <w:tc>
          <w:tcPr>
            <w:tcW w:w="0" w:type="auto"/>
          </w:tcPr>
          <w:p w14:paraId="2F32A3BE" w14:textId="77777777" w:rsidR="0016712B" w:rsidRPr="00EE6BED" w:rsidRDefault="0016712B" w:rsidP="00EE6BED">
            <w:pPr>
              <w:jc w:val="both"/>
              <w:rPr>
                <w:rFonts w:ascii="Arial" w:hAnsi="Arial" w:cs="Arial"/>
                <w:b/>
                <w:bCs/>
                <w:sz w:val="22"/>
                <w:szCs w:val="22"/>
              </w:rPr>
            </w:pPr>
            <w:r w:rsidRPr="00EE6BED">
              <w:rPr>
                <w:rFonts w:ascii="Arial" w:hAnsi="Arial" w:cs="Arial"/>
                <w:b/>
                <w:bCs/>
                <w:sz w:val="22"/>
                <w:szCs w:val="22"/>
              </w:rPr>
              <w:t>Mitigation Measure BIO-2 (Nesting Birds):</w:t>
            </w:r>
          </w:p>
          <w:p w14:paraId="44C07302" w14:textId="77777777" w:rsidR="0016712B" w:rsidRPr="00EE6BED" w:rsidRDefault="0016712B" w:rsidP="00EE6BED">
            <w:pPr>
              <w:pStyle w:val="ListParagraph"/>
              <w:numPr>
                <w:ilvl w:val="0"/>
                <w:numId w:val="2"/>
              </w:numPr>
              <w:spacing w:after="240"/>
              <w:contextualSpacing w:val="0"/>
              <w:jc w:val="both"/>
              <w:rPr>
                <w:rFonts w:ascii="Arial" w:hAnsi="Arial" w:cs="Arial"/>
                <w:sz w:val="22"/>
                <w:szCs w:val="22"/>
              </w:rPr>
            </w:pPr>
            <w:r w:rsidRPr="00EE6BED">
              <w:rPr>
                <w:rFonts w:ascii="Arial" w:hAnsi="Arial" w:cs="Arial"/>
                <w:sz w:val="22"/>
                <w:szCs w:val="22"/>
              </w:rPr>
              <w:t>Vegetation removal and other ground-disturbance activities associated with construction shall occur between September 1 and January 31, when birds are not nesting; or</w:t>
            </w:r>
          </w:p>
          <w:p w14:paraId="2608FC67" w14:textId="77777777" w:rsidR="0016712B" w:rsidRPr="00EE6BED" w:rsidRDefault="0016712B" w:rsidP="00EE6BED">
            <w:pPr>
              <w:pStyle w:val="ListParagraph"/>
              <w:numPr>
                <w:ilvl w:val="0"/>
                <w:numId w:val="2"/>
              </w:numPr>
              <w:spacing w:after="240"/>
              <w:contextualSpacing w:val="0"/>
              <w:jc w:val="both"/>
              <w:rPr>
                <w:rFonts w:ascii="Arial" w:hAnsi="Arial" w:cs="Arial"/>
                <w:sz w:val="22"/>
                <w:szCs w:val="22"/>
              </w:rPr>
            </w:pPr>
            <w:r w:rsidRPr="00EE6BED">
              <w:rPr>
                <w:rFonts w:ascii="Arial" w:hAnsi="Arial" w:cs="Arial"/>
                <w:sz w:val="22"/>
                <w:szCs w:val="22"/>
              </w:rPr>
              <w:t>If vegetation removal or ground disturbance activities occur during the nesting season, a pre-construction nesting bird survey shall be conducted by a qualified biologist to identify active nests in and adjacent to the Project area.</w:t>
            </w:r>
          </w:p>
          <w:p w14:paraId="41C7CBBE" w14:textId="77777777" w:rsidR="0016712B" w:rsidRPr="00EE6BED" w:rsidRDefault="0016712B" w:rsidP="00EE6BED">
            <w:pPr>
              <w:pStyle w:val="ListParagraph"/>
              <w:jc w:val="both"/>
              <w:rPr>
                <w:rFonts w:ascii="Arial" w:hAnsi="Arial" w:cs="Arial"/>
                <w:sz w:val="22"/>
                <w:szCs w:val="22"/>
              </w:rPr>
            </w:pPr>
            <w:r w:rsidRPr="00EE6BED">
              <w:rPr>
                <w:rFonts w:ascii="Arial" w:hAnsi="Arial" w:cs="Arial"/>
                <w:sz w:val="22"/>
                <w:szCs w:val="22"/>
              </w:rPr>
              <w:t>Surveys shall begin prior to sunrise and continue until vegetation and nests have been</w:t>
            </w:r>
          </w:p>
          <w:p w14:paraId="28E00713" w14:textId="77777777" w:rsidR="0016712B" w:rsidRPr="00EE6BED" w:rsidRDefault="0016712B" w:rsidP="00EE6BED">
            <w:pPr>
              <w:pStyle w:val="ListParagraph"/>
              <w:spacing w:before="240" w:after="240"/>
              <w:contextualSpacing w:val="0"/>
              <w:jc w:val="both"/>
              <w:rPr>
                <w:rFonts w:ascii="Arial" w:hAnsi="Arial" w:cs="Arial"/>
                <w:sz w:val="22"/>
                <w:szCs w:val="22"/>
              </w:rPr>
            </w:pPr>
            <w:r w:rsidRPr="00EE6BED">
              <w:rPr>
                <w:rFonts w:ascii="Arial" w:hAnsi="Arial" w:cs="Arial"/>
                <w:sz w:val="22"/>
                <w:szCs w:val="22"/>
              </w:rPr>
              <w:t xml:space="preserve">sufficiently observed. The survey shall consider acoustic impacts and line-of sight disturbances occurring as a result of the Project to determine a sufficient survey radius to maximize observations of nesting birds. A nesting bird survey report should be prepared and at a minimum, the report should include a description of the area surveyed, date and time of the survey, ambient conditions, bird species observed, a description of any active nests observed, any evidence of breeding behaviors (e.g., courtship, carrying nest materials or food, etc.), and a description of any outstanding conditions that may have impacted the survey results (e.g., weather conditions, excess noise, the presence of </w:t>
            </w:r>
            <w:r w:rsidRPr="00EE6BED">
              <w:rPr>
                <w:rFonts w:ascii="Arial" w:hAnsi="Arial" w:cs="Arial"/>
                <w:sz w:val="22"/>
                <w:szCs w:val="22"/>
              </w:rPr>
              <w:lastRenderedPageBreak/>
              <w:t>predators, etc.).</w:t>
            </w:r>
          </w:p>
          <w:p w14:paraId="357C2F95" w14:textId="77777777" w:rsidR="0016712B" w:rsidRPr="00EE6BED" w:rsidRDefault="0016712B" w:rsidP="00EE6BED">
            <w:pPr>
              <w:spacing w:after="240"/>
              <w:ind w:left="720"/>
              <w:jc w:val="both"/>
              <w:rPr>
                <w:rFonts w:ascii="Arial" w:hAnsi="Arial" w:cs="Arial"/>
                <w:sz w:val="22"/>
                <w:szCs w:val="22"/>
              </w:rPr>
            </w:pPr>
            <w:r w:rsidRPr="00EE6BED">
              <w:rPr>
                <w:rFonts w:ascii="Arial" w:hAnsi="Arial" w:cs="Arial"/>
                <w:sz w:val="22"/>
                <w:szCs w:val="22"/>
              </w:rPr>
              <w:t>If an active nest is located during the preconstruction surveys, a non-disturbance buffer shall be established around the nest by a qualified biologist in consultation with the Department and U.S. Fish and Wildlife Service to comply with FGC sections 3503 and 3503.5 and the Migratory Bird Treaty Act. Compliance measures may include, but are not limited to, exclusion buffers, sound-attenuation measures, seasonal work closures based on the known biology and life history of the species identified in the survey, as well as ongoing monitoring by biologists.</w:t>
            </w:r>
          </w:p>
          <w:p w14:paraId="770A8ECB" w14:textId="77777777" w:rsidR="0016712B" w:rsidRPr="00EE6BED" w:rsidRDefault="0016712B" w:rsidP="00EE6BED">
            <w:pPr>
              <w:rPr>
                <w:rFonts w:ascii="Arial" w:hAnsi="Arial" w:cs="Arial"/>
                <w:b/>
                <w:bCs/>
              </w:rPr>
            </w:pPr>
          </w:p>
        </w:tc>
        <w:tc>
          <w:tcPr>
            <w:tcW w:w="0" w:type="auto"/>
          </w:tcPr>
          <w:p w14:paraId="6B14F642" w14:textId="4BF030C8" w:rsidR="0016712B" w:rsidRPr="00EE6BED" w:rsidRDefault="0016712B">
            <w:pPr>
              <w:rPr>
                <w:rFonts w:ascii="Arial" w:hAnsi="Arial" w:cs="Arial"/>
              </w:rPr>
            </w:pPr>
            <w:r>
              <w:rPr>
                <w:rFonts w:ascii="Arial" w:hAnsi="Arial" w:cs="Arial"/>
              </w:rPr>
              <w:lastRenderedPageBreak/>
              <w:t>Duration of project</w:t>
            </w:r>
          </w:p>
        </w:tc>
        <w:tc>
          <w:tcPr>
            <w:tcW w:w="0" w:type="auto"/>
          </w:tcPr>
          <w:p w14:paraId="1E382D34" w14:textId="5924081C" w:rsidR="0016712B" w:rsidRPr="00EE6BED" w:rsidRDefault="0016712B">
            <w:pPr>
              <w:rPr>
                <w:rFonts w:ascii="Arial" w:hAnsi="Arial" w:cs="Arial"/>
              </w:rPr>
            </w:pPr>
            <w:r>
              <w:rPr>
                <w:rFonts w:ascii="Arial" w:hAnsi="Arial" w:cs="Arial"/>
              </w:rPr>
              <w:t>Applicant/Biologist/Environmental Scientist</w:t>
            </w:r>
          </w:p>
        </w:tc>
        <w:tc>
          <w:tcPr>
            <w:tcW w:w="0" w:type="auto"/>
          </w:tcPr>
          <w:p w14:paraId="6C2AD4AB" w14:textId="3411D384" w:rsidR="0016712B" w:rsidRPr="00EE6BED" w:rsidRDefault="0016712B">
            <w:pPr>
              <w:rPr>
                <w:rFonts w:ascii="Arial" w:hAnsi="Arial" w:cs="Arial"/>
              </w:rPr>
            </w:pPr>
            <w:r>
              <w:rPr>
                <w:rFonts w:ascii="Arial" w:hAnsi="Arial" w:cs="Arial"/>
              </w:rPr>
              <w:t>County</w:t>
            </w:r>
          </w:p>
        </w:tc>
        <w:tc>
          <w:tcPr>
            <w:tcW w:w="0" w:type="auto"/>
          </w:tcPr>
          <w:p w14:paraId="67B327C3" w14:textId="77777777" w:rsidR="0016712B" w:rsidRPr="00EE6BED" w:rsidRDefault="0016712B">
            <w:pPr>
              <w:rPr>
                <w:rFonts w:ascii="Arial" w:hAnsi="Arial" w:cs="Arial"/>
              </w:rPr>
            </w:pPr>
          </w:p>
        </w:tc>
        <w:tc>
          <w:tcPr>
            <w:tcW w:w="0" w:type="auto"/>
          </w:tcPr>
          <w:p w14:paraId="5F0958E0" w14:textId="77777777" w:rsidR="0016712B" w:rsidRPr="00EE6BED" w:rsidRDefault="0016712B">
            <w:pPr>
              <w:rPr>
                <w:rFonts w:ascii="Arial" w:hAnsi="Arial" w:cs="Arial"/>
              </w:rPr>
            </w:pPr>
          </w:p>
        </w:tc>
      </w:tr>
      <w:tr w:rsidR="0016712B" w:rsidRPr="00EE6BED" w14:paraId="1E5AC4E2" w14:textId="77777777" w:rsidTr="00EE6BED">
        <w:trPr>
          <w:trHeight w:val="274"/>
        </w:trPr>
        <w:tc>
          <w:tcPr>
            <w:tcW w:w="0" w:type="auto"/>
          </w:tcPr>
          <w:p w14:paraId="08FC7879" w14:textId="77777777" w:rsidR="0016712B" w:rsidRPr="00EE6BED" w:rsidRDefault="0016712B" w:rsidP="00EE6BED">
            <w:pPr>
              <w:jc w:val="both"/>
              <w:rPr>
                <w:rFonts w:ascii="Arial" w:hAnsi="Arial" w:cs="Arial"/>
                <w:b/>
                <w:bCs/>
                <w:sz w:val="22"/>
                <w:szCs w:val="22"/>
              </w:rPr>
            </w:pPr>
            <w:r w:rsidRPr="00EE6BED">
              <w:rPr>
                <w:rFonts w:ascii="Arial" w:hAnsi="Arial" w:cs="Arial"/>
                <w:b/>
                <w:bCs/>
                <w:sz w:val="22"/>
                <w:szCs w:val="22"/>
              </w:rPr>
              <w:t>Mitigation Measure BIO-2 (Rare Plant Survey):</w:t>
            </w:r>
          </w:p>
          <w:p w14:paraId="58A660B2" w14:textId="77777777" w:rsidR="0016712B" w:rsidRPr="00EE6BED" w:rsidRDefault="0016712B" w:rsidP="00EE6BED">
            <w:pPr>
              <w:pStyle w:val="ListParagraph"/>
              <w:numPr>
                <w:ilvl w:val="0"/>
                <w:numId w:val="4"/>
              </w:numPr>
              <w:jc w:val="both"/>
              <w:rPr>
                <w:rFonts w:ascii="Arial" w:hAnsi="Arial" w:cs="Arial"/>
                <w:sz w:val="22"/>
                <w:szCs w:val="22"/>
              </w:rPr>
            </w:pPr>
            <w:r w:rsidRPr="00EE6BED">
              <w:rPr>
                <w:rFonts w:ascii="Arial" w:hAnsi="Arial" w:cs="Arial"/>
                <w:sz w:val="22"/>
                <w:szCs w:val="22"/>
              </w:rPr>
              <w:t>If ground disturbance is proposed within the annual grassland community onsite, a protocol-level pre-construction survey will be completed for the following botanical species:</w:t>
            </w:r>
          </w:p>
          <w:p w14:paraId="01D862FC" w14:textId="77777777" w:rsidR="0016712B" w:rsidRPr="00EE6BED" w:rsidRDefault="0016712B" w:rsidP="00EE6BED">
            <w:pPr>
              <w:pStyle w:val="ListParagraph"/>
              <w:numPr>
                <w:ilvl w:val="0"/>
                <w:numId w:val="3"/>
              </w:numPr>
              <w:jc w:val="both"/>
              <w:rPr>
                <w:rFonts w:ascii="Arial" w:hAnsi="Arial" w:cs="Arial"/>
                <w:sz w:val="22"/>
                <w:szCs w:val="22"/>
              </w:rPr>
            </w:pPr>
            <w:r w:rsidRPr="00EE6BED">
              <w:rPr>
                <w:rFonts w:ascii="Arial" w:hAnsi="Arial" w:cs="Arial"/>
                <w:sz w:val="22"/>
                <w:szCs w:val="22"/>
              </w:rPr>
              <w:t xml:space="preserve">Peck’s </w:t>
            </w:r>
            <w:proofErr w:type="spellStart"/>
            <w:r w:rsidRPr="00EE6BED">
              <w:rPr>
                <w:rFonts w:ascii="Arial" w:hAnsi="Arial" w:cs="Arial"/>
                <w:sz w:val="22"/>
                <w:szCs w:val="22"/>
              </w:rPr>
              <w:t>lomatium</w:t>
            </w:r>
            <w:proofErr w:type="spellEnd"/>
            <w:r w:rsidRPr="00EE6BED">
              <w:rPr>
                <w:rFonts w:ascii="Arial" w:hAnsi="Arial" w:cs="Arial"/>
                <w:sz w:val="22"/>
                <w:szCs w:val="22"/>
              </w:rPr>
              <w:t xml:space="preserve"> (</w:t>
            </w:r>
            <w:proofErr w:type="spellStart"/>
            <w:r w:rsidRPr="00EE6BED">
              <w:rPr>
                <w:rFonts w:ascii="Arial" w:hAnsi="Arial" w:cs="Arial"/>
                <w:i/>
                <w:iCs/>
                <w:sz w:val="22"/>
                <w:szCs w:val="22"/>
              </w:rPr>
              <w:t>Lomatium</w:t>
            </w:r>
            <w:proofErr w:type="spellEnd"/>
            <w:r w:rsidRPr="00EE6BED">
              <w:rPr>
                <w:rFonts w:ascii="Arial" w:hAnsi="Arial" w:cs="Arial"/>
                <w:i/>
                <w:iCs/>
                <w:sz w:val="22"/>
                <w:szCs w:val="22"/>
              </w:rPr>
              <w:t xml:space="preserve"> </w:t>
            </w:r>
            <w:proofErr w:type="spellStart"/>
            <w:r w:rsidRPr="00EE6BED">
              <w:rPr>
                <w:rFonts w:ascii="Arial" w:hAnsi="Arial" w:cs="Arial"/>
                <w:i/>
                <w:iCs/>
                <w:sz w:val="22"/>
                <w:szCs w:val="22"/>
              </w:rPr>
              <w:t>peckianum</w:t>
            </w:r>
            <w:proofErr w:type="spellEnd"/>
            <w:r w:rsidRPr="00EE6BED">
              <w:rPr>
                <w:rFonts w:ascii="Arial" w:hAnsi="Arial" w:cs="Arial"/>
                <w:sz w:val="22"/>
                <w:szCs w:val="22"/>
              </w:rPr>
              <w:t>)</w:t>
            </w:r>
          </w:p>
          <w:p w14:paraId="655A1A9D" w14:textId="77777777" w:rsidR="0016712B" w:rsidRPr="00EE6BED" w:rsidRDefault="0016712B" w:rsidP="00EE6BED">
            <w:pPr>
              <w:pStyle w:val="ListParagraph"/>
              <w:numPr>
                <w:ilvl w:val="0"/>
                <w:numId w:val="3"/>
              </w:numPr>
              <w:jc w:val="both"/>
              <w:rPr>
                <w:rFonts w:ascii="Arial" w:hAnsi="Arial" w:cs="Arial"/>
                <w:sz w:val="22"/>
                <w:szCs w:val="22"/>
              </w:rPr>
            </w:pPr>
            <w:r w:rsidRPr="00EE6BED">
              <w:rPr>
                <w:rFonts w:ascii="Arial" w:hAnsi="Arial" w:cs="Arial"/>
                <w:sz w:val="22"/>
                <w:szCs w:val="22"/>
              </w:rPr>
              <w:t>Woolly balsamroot (</w:t>
            </w:r>
            <w:proofErr w:type="spellStart"/>
            <w:r w:rsidRPr="00EE6BED">
              <w:rPr>
                <w:rFonts w:ascii="Arial" w:hAnsi="Arial" w:cs="Arial"/>
                <w:i/>
                <w:iCs/>
                <w:sz w:val="22"/>
                <w:szCs w:val="22"/>
              </w:rPr>
              <w:t>Balsamorhiza</w:t>
            </w:r>
            <w:proofErr w:type="spellEnd"/>
            <w:r w:rsidRPr="00EE6BED">
              <w:rPr>
                <w:rFonts w:ascii="Arial" w:hAnsi="Arial" w:cs="Arial"/>
                <w:i/>
                <w:iCs/>
                <w:sz w:val="22"/>
                <w:szCs w:val="22"/>
              </w:rPr>
              <w:t xml:space="preserve"> </w:t>
            </w:r>
            <w:proofErr w:type="spellStart"/>
            <w:r w:rsidRPr="00EE6BED">
              <w:rPr>
                <w:rFonts w:ascii="Arial" w:hAnsi="Arial" w:cs="Arial"/>
                <w:i/>
                <w:iCs/>
                <w:sz w:val="22"/>
                <w:szCs w:val="22"/>
              </w:rPr>
              <w:t>lanata</w:t>
            </w:r>
            <w:proofErr w:type="spellEnd"/>
            <w:r w:rsidRPr="00EE6BED">
              <w:rPr>
                <w:rFonts w:ascii="Arial" w:hAnsi="Arial" w:cs="Arial"/>
                <w:sz w:val="22"/>
                <w:szCs w:val="22"/>
              </w:rPr>
              <w:t>)</w:t>
            </w:r>
          </w:p>
          <w:p w14:paraId="61A61019" w14:textId="77777777" w:rsidR="0016712B" w:rsidRPr="00EE6BED" w:rsidRDefault="0016712B" w:rsidP="00EE6BED">
            <w:pPr>
              <w:pStyle w:val="ListParagraph"/>
              <w:numPr>
                <w:ilvl w:val="0"/>
                <w:numId w:val="3"/>
              </w:numPr>
              <w:jc w:val="both"/>
              <w:rPr>
                <w:rFonts w:ascii="Arial" w:hAnsi="Arial" w:cs="Arial"/>
                <w:sz w:val="22"/>
                <w:szCs w:val="22"/>
              </w:rPr>
            </w:pPr>
            <w:r w:rsidRPr="00EE6BED">
              <w:rPr>
                <w:rFonts w:ascii="Arial" w:hAnsi="Arial" w:cs="Arial"/>
                <w:sz w:val="22"/>
                <w:szCs w:val="22"/>
              </w:rPr>
              <w:t xml:space="preserve">Shasta </w:t>
            </w:r>
            <w:proofErr w:type="spellStart"/>
            <w:r w:rsidRPr="00EE6BED">
              <w:rPr>
                <w:rFonts w:ascii="Arial" w:hAnsi="Arial" w:cs="Arial"/>
                <w:sz w:val="22"/>
                <w:szCs w:val="22"/>
              </w:rPr>
              <w:t>orthocarpus</w:t>
            </w:r>
            <w:proofErr w:type="spellEnd"/>
            <w:r w:rsidRPr="00EE6BED">
              <w:rPr>
                <w:rFonts w:ascii="Arial" w:hAnsi="Arial" w:cs="Arial"/>
                <w:sz w:val="22"/>
                <w:szCs w:val="22"/>
              </w:rPr>
              <w:t xml:space="preserve"> (</w:t>
            </w:r>
            <w:proofErr w:type="spellStart"/>
            <w:r w:rsidRPr="00EE6BED">
              <w:rPr>
                <w:rFonts w:ascii="Arial" w:hAnsi="Arial" w:cs="Arial"/>
                <w:i/>
                <w:iCs/>
                <w:sz w:val="22"/>
                <w:szCs w:val="22"/>
              </w:rPr>
              <w:t>Orthocarpus</w:t>
            </w:r>
            <w:proofErr w:type="spellEnd"/>
            <w:r w:rsidRPr="00EE6BED">
              <w:rPr>
                <w:rFonts w:ascii="Arial" w:hAnsi="Arial" w:cs="Arial"/>
                <w:i/>
                <w:iCs/>
                <w:sz w:val="22"/>
                <w:szCs w:val="22"/>
              </w:rPr>
              <w:t xml:space="preserve"> </w:t>
            </w:r>
            <w:proofErr w:type="spellStart"/>
            <w:r w:rsidRPr="00EE6BED">
              <w:rPr>
                <w:rFonts w:ascii="Arial" w:hAnsi="Arial" w:cs="Arial"/>
                <w:i/>
                <w:iCs/>
                <w:sz w:val="22"/>
                <w:szCs w:val="22"/>
              </w:rPr>
              <w:t>pachystachyus</w:t>
            </w:r>
            <w:proofErr w:type="spellEnd"/>
            <w:r w:rsidRPr="00EE6BED">
              <w:rPr>
                <w:rFonts w:ascii="Arial" w:hAnsi="Arial" w:cs="Arial"/>
                <w:sz w:val="22"/>
                <w:szCs w:val="22"/>
              </w:rPr>
              <w:t>)</w:t>
            </w:r>
          </w:p>
          <w:p w14:paraId="513FF33C" w14:textId="3E5BC51F" w:rsidR="0016712B" w:rsidRPr="00EE6BED" w:rsidRDefault="0016712B" w:rsidP="00EE6BED">
            <w:pPr>
              <w:pStyle w:val="ListParagraph"/>
              <w:numPr>
                <w:ilvl w:val="0"/>
                <w:numId w:val="3"/>
              </w:numPr>
              <w:jc w:val="both"/>
              <w:rPr>
                <w:rFonts w:ascii="Arial" w:hAnsi="Arial" w:cs="Arial"/>
                <w:sz w:val="22"/>
                <w:szCs w:val="22"/>
              </w:rPr>
            </w:pPr>
            <w:r w:rsidRPr="00EE6BED">
              <w:rPr>
                <w:rFonts w:ascii="Arial" w:hAnsi="Arial" w:cs="Arial"/>
                <w:sz w:val="22"/>
                <w:szCs w:val="22"/>
              </w:rPr>
              <w:t xml:space="preserve">Alkali </w:t>
            </w:r>
            <w:proofErr w:type="spellStart"/>
            <w:r w:rsidRPr="00EE6BED">
              <w:rPr>
                <w:rFonts w:ascii="Arial" w:hAnsi="Arial" w:cs="Arial"/>
                <w:sz w:val="22"/>
                <w:szCs w:val="22"/>
              </w:rPr>
              <w:t>hymenoxys</w:t>
            </w:r>
            <w:proofErr w:type="spellEnd"/>
            <w:r w:rsidRPr="00EE6BED">
              <w:rPr>
                <w:rFonts w:ascii="Arial" w:hAnsi="Arial" w:cs="Arial"/>
                <w:sz w:val="22"/>
                <w:szCs w:val="22"/>
              </w:rPr>
              <w:t xml:space="preserve"> (</w:t>
            </w:r>
            <w:proofErr w:type="spellStart"/>
            <w:r w:rsidRPr="00EE6BED">
              <w:rPr>
                <w:rFonts w:ascii="Arial" w:hAnsi="Arial" w:cs="Arial"/>
                <w:i/>
                <w:iCs/>
                <w:sz w:val="22"/>
                <w:szCs w:val="22"/>
              </w:rPr>
              <w:t>Hymenoxys</w:t>
            </w:r>
            <w:proofErr w:type="spellEnd"/>
            <w:r w:rsidRPr="00EE6BED">
              <w:rPr>
                <w:rFonts w:ascii="Arial" w:hAnsi="Arial" w:cs="Arial"/>
                <w:i/>
                <w:iCs/>
                <w:sz w:val="22"/>
                <w:szCs w:val="22"/>
              </w:rPr>
              <w:t xml:space="preserve"> </w:t>
            </w:r>
            <w:proofErr w:type="spellStart"/>
            <w:r w:rsidRPr="00EE6BED">
              <w:rPr>
                <w:rFonts w:ascii="Arial" w:hAnsi="Arial" w:cs="Arial"/>
                <w:i/>
                <w:iCs/>
                <w:sz w:val="22"/>
                <w:szCs w:val="22"/>
              </w:rPr>
              <w:t>lemmonii</w:t>
            </w:r>
            <w:proofErr w:type="spellEnd"/>
            <w:r w:rsidRPr="00EE6BED">
              <w:rPr>
                <w:rFonts w:ascii="Arial" w:hAnsi="Arial" w:cs="Arial"/>
                <w:sz w:val="22"/>
                <w:szCs w:val="22"/>
              </w:rPr>
              <w:t>)</w:t>
            </w:r>
          </w:p>
        </w:tc>
        <w:tc>
          <w:tcPr>
            <w:tcW w:w="0" w:type="auto"/>
          </w:tcPr>
          <w:p w14:paraId="1D631606" w14:textId="588C3E26" w:rsidR="0016712B" w:rsidRPr="00EE6BED" w:rsidRDefault="0016712B">
            <w:pPr>
              <w:rPr>
                <w:rFonts w:ascii="Arial" w:hAnsi="Arial" w:cs="Arial"/>
              </w:rPr>
            </w:pPr>
            <w:r>
              <w:rPr>
                <w:rFonts w:ascii="Arial" w:hAnsi="Arial" w:cs="Arial"/>
              </w:rPr>
              <w:t>Duration of project</w:t>
            </w:r>
          </w:p>
        </w:tc>
        <w:tc>
          <w:tcPr>
            <w:tcW w:w="0" w:type="auto"/>
          </w:tcPr>
          <w:p w14:paraId="7D5093C1" w14:textId="5657F56F" w:rsidR="0016712B" w:rsidRPr="00EE6BED" w:rsidRDefault="0016712B">
            <w:pPr>
              <w:rPr>
                <w:rFonts w:ascii="Arial" w:hAnsi="Arial" w:cs="Arial"/>
              </w:rPr>
            </w:pPr>
            <w:r>
              <w:rPr>
                <w:rFonts w:ascii="Arial" w:hAnsi="Arial" w:cs="Arial"/>
              </w:rPr>
              <w:t>Applicant/Biologist/Environmental Scientist</w:t>
            </w:r>
          </w:p>
        </w:tc>
        <w:tc>
          <w:tcPr>
            <w:tcW w:w="0" w:type="auto"/>
          </w:tcPr>
          <w:p w14:paraId="1741606E" w14:textId="2AEC4A11" w:rsidR="0016712B" w:rsidRPr="00EE6BED" w:rsidRDefault="0016712B">
            <w:pPr>
              <w:rPr>
                <w:rFonts w:ascii="Arial" w:hAnsi="Arial" w:cs="Arial"/>
              </w:rPr>
            </w:pPr>
            <w:r>
              <w:rPr>
                <w:rFonts w:ascii="Arial" w:hAnsi="Arial" w:cs="Arial"/>
              </w:rPr>
              <w:t>County</w:t>
            </w:r>
          </w:p>
        </w:tc>
        <w:tc>
          <w:tcPr>
            <w:tcW w:w="0" w:type="auto"/>
          </w:tcPr>
          <w:p w14:paraId="7338E713" w14:textId="77777777" w:rsidR="0016712B" w:rsidRPr="00EE6BED" w:rsidRDefault="0016712B">
            <w:pPr>
              <w:rPr>
                <w:rFonts w:ascii="Arial" w:hAnsi="Arial" w:cs="Arial"/>
              </w:rPr>
            </w:pPr>
          </w:p>
        </w:tc>
        <w:tc>
          <w:tcPr>
            <w:tcW w:w="0" w:type="auto"/>
          </w:tcPr>
          <w:p w14:paraId="6905CB72" w14:textId="77777777" w:rsidR="0016712B" w:rsidRPr="00EE6BED" w:rsidRDefault="0016712B">
            <w:pPr>
              <w:rPr>
                <w:rFonts w:ascii="Arial" w:hAnsi="Arial" w:cs="Arial"/>
              </w:rPr>
            </w:pPr>
          </w:p>
        </w:tc>
      </w:tr>
      <w:tr w:rsidR="0016712B" w:rsidRPr="00EE6BED" w14:paraId="3CB51CB2" w14:textId="77777777" w:rsidTr="0011325E">
        <w:trPr>
          <w:trHeight w:val="274"/>
        </w:trPr>
        <w:tc>
          <w:tcPr>
            <w:tcW w:w="0" w:type="auto"/>
            <w:gridSpan w:val="6"/>
          </w:tcPr>
          <w:p w14:paraId="3CC3C04D" w14:textId="07C1A5D5" w:rsidR="0016712B" w:rsidRPr="00EE6BED" w:rsidRDefault="0016712B">
            <w:pPr>
              <w:rPr>
                <w:rFonts w:ascii="Arial" w:hAnsi="Arial" w:cs="Arial"/>
              </w:rPr>
            </w:pPr>
            <w:r>
              <w:rPr>
                <w:rFonts w:ascii="Arial" w:hAnsi="Arial" w:cs="Arial"/>
                <w:b/>
                <w:bCs/>
                <w:sz w:val="22"/>
                <w:szCs w:val="22"/>
              </w:rPr>
              <w:t>Cultural Resources</w:t>
            </w:r>
          </w:p>
        </w:tc>
      </w:tr>
      <w:tr w:rsidR="0016712B" w:rsidRPr="00EE6BED" w14:paraId="33D0A322" w14:textId="77777777" w:rsidTr="00EE6BED">
        <w:trPr>
          <w:trHeight w:val="292"/>
        </w:trPr>
        <w:tc>
          <w:tcPr>
            <w:tcW w:w="0" w:type="auto"/>
          </w:tcPr>
          <w:p w14:paraId="06D79AA7" w14:textId="77777777" w:rsidR="0016712B" w:rsidRPr="00EE6BED" w:rsidRDefault="0016712B" w:rsidP="00EE6BED">
            <w:pPr>
              <w:jc w:val="both"/>
              <w:rPr>
                <w:rFonts w:ascii="Arial" w:hAnsi="Arial" w:cs="Arial"/>
                <w:b/>
                <w:bCs/>
                <w:sz w:val="22"/>
                <w:szCs w:val="22"/>
              </w:rPr>
            </w:pPr>
            <w:r w:rsidRPr="00EE6BED">
              <w:rPr>
                <w:rFonts w:ascii="Arial" w:hAnsi="Arial" w:cs="Arial"/>
                <w:b/>
                <w:bCs/>
                <w:sz w:val="22"/>
                <w:szCs w:val="22"/>
              </w:rPr>
              <w:t xml:space="preserve">Mitigation Measure CR-1 (Cultural Resources): </w:t>
            </w:r>
          </w:p>
          <w:p w14:paraId="1854AEB2" w14:textId="77777777" w:rsidR="0016712B" w:rsidRPr="00EE6BED" w:rsidRDefault="0016712B" w:rsidP="00EE6BED">
            <w:pPr>
              <w:spacing w:after="240"/>
              <w:jc w:val="both"/>
              <w:rPr>
                <w:rFonts w:ascii="Arial" w:hAnsi="Arial" w:cs="Arial"/>
                <w:sz w:val="22"/>
                <w:szCs w:val="22"/>
              </w:rPr>
            </w:pPr>
            <w:r w:rsidRPr="00EE6BED">
              <w:rPr>
                <w:rFonts w:ascii="Arial" w:hAnsi="Arial" w:cs="Arial"/>
                <w:sz w:val="22"/>
                <w:szCs w:val="22"/>
              </w:rPr>
              <w:t xml:space="preserve">There is potential to disturb or destroy any known or unknown cultural resource through ground disturbing activities associated with construction and operation. </w:t>
            </w:r>
          </w:p>
          <w:p w14:paraId="03BE94B8" w14:textId="77777777" w:rsidR="0016712B" w:rsidRPr="00EE6BED" w:rsidRDefault="0016712B" w:rsidP="00EE6BED">
            <w:pPr>
              <w:spacing w:after="240"/>
              <w:jc w:val="both"/>
              <w:rPr>
                <w:rFonts w:ascii="Arial" w:hAnsi="Arial" w:cs="Arial"/>
                <w:sz w:val="22"/>
                <w:szCs w:val="22"/>
              </w:rPr>
            </w:pPr>
            <w:r w:rsidRPr="00EE6BED">
              <w:rPr>
                <w:rFonts w:ascii="Arial" w:hAnsi="Arial" w:cs="Arial"/>
                <w:sz w:val="22"/>
                <w:szCs w:val="22"/>
              </w:rPr>
              <w:t>The following measures are generally included on all project plans in the County and shall be adhered to throughout project site work.</w:t>
            </w:r>
          </w:p>
          <w:p w14:paraId="415C1735" w14:textId="77777777" w:rsidR="0016712B" w:rsidRPr="00EE6BED" w:rsidRDefault="0016712B" w:rsidP="00EE6BED">
            <w:pPr>
              <w:pStyle w:val="ListParagraph"/>
              <w:numPr>
                <w:ilvl w:val="0"/>
                <w:numId w:val="5"/>
              </w:numPr>
              <w:spacing w:after="240"/>
              <w:contextualSpacing w:val="0"/>
              <w:jc w:val="both"/>
              <w:rPr>
                <w:rFonts w:ascii="Arial" w:hAnsi="Arial" w:cs="Arial"/>
                <w:sz w:val="22"/>
                <w:szCs w:val="22"/>
              </w:rPr>
            </w:pPr>
            <w:r w:rsidRPr="00EE6BED">
              <w:rPr>
                <w:rFonts w:ascii="Arial" w:hAnsi="Arial" w:cs="Arial"/>
                <w:sz w:val="22"/>
                <w:szCs w:val="22"/>
              </w:rPr>
              <w:t xml:space="preserve">If any cultural resources </w:t>
            </w:r>
            <w:r w:rsidRPr="00EE6BED">
              <w:rPr>
                <w:rFonts w:ascii="Arial" w:eastAsia="Century Gothic" w:hAnsi="Arial" w:cs="Arial"/>
                <w:sz w:val="22"/>
                <w:szCs w:val="22"/>
              </w:rPr>
              <w:t>i</w:t>
            </w:r>
            <w:r w:rsidRPr="00EE6BED">
              <w:rPr>
                <w:rFonts w:ascii="Arial" w:hAnsi="Arial" w:cs="Arial"/>
                <w:sz w:val="22"/>
                <w:szCs w:val="22"/>
              </w:rPr>
              <w:t>.e., human bone or burnt animal bone, midden soils, projectile points, humanly modified lithics, historic artifacts, etc.) are encountered during any phase of construction, all earth-disturbing work shall stop within 100 feet of the find. The Siskiyou County Planning Department shall be notified, and a qualified archaeologist shall make an assessment of the discovery and recommend/implement mitigation measures as necessary. Siskiyou County shall consider mitigation recommendations presented by a qualified archaeologist that meets the Secretary of the Interior's Professional Qualification Standards in prehistoric or historical archaeology for any unanticipated discoveries. The County and the project applicant shall consult and agree upon implementation of a measure or measures that the County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04F32739" w14:textId="77777777" w:rsidR="0016712B" w:rsidRPr="00EE6BED" w:rsidRDefault="0016712B" w:rsidP="00EE6BED">
            <w:pPr>
              <w:pStyle w:val="ListParagraph"/>
              <w:numPr>
                <w:ilvl w:val="0"/>
                <w:numId w:val="5"/>
              </w:numPr>
              <w:spacing w:after="240"/>
              <w:contextualSpacing w:val="0"/>
              <w:jc w:val="both"/>
              <w:rPr>
                <w:rFonts w:ascii="Arial" w:hAnsi="Arial" w:cs="Arial"/>
                <w:sz w:val="22"/>
                <w:szCs w:val="22"/>
              </w:rPr>
            </w:pPr>
            <w:r w:rsidRPr="00EE6BED">
              <w:rPr>
                <w:rFonts w:ascii="Arial" w:hAnsi="Arial" w:cs="Arial"/>
                <w:sz w:val="22"/>
                <w:szCs w:val="22"/>
              </w:rPr>
              <w:t>If human remains are discovered, all work shall be halted immediately within 50 meters (165 feet) of the discovery and the Siskiyou County Planning Department and the County Coroner shall be notified, according to Section 5097.98 of the State Public Resources Code and Section 7050.5 of California's Health and Safety Code. If the remains are determined to be Native American, the coroner will notify the Native American Heritage Commission, and the procedures outlined in CEQA Section 15064.5(d) and (e) shall be followed.</w:t>
            </w:r>
          </w:p>
          <w:p w14:paraId="7F345672" w14:textId="77777777" w:rsidR="0016712B" w:rsidRPr="00EE6BED" w:rsidRDefault="0016712B" w:rsidP="00EE6BED">
            <w:pPr>
              <w:pStyle w:val="ListParagraph"/>
              <w:numPr>
                <w:ilvl w:val="0"/>
                <w:numId w:val="5"/>
              </w:numPr>
              <w:spacing w:after="240"/>
              <w:contextualSpacing w:val="0"/>
              <w:jc w:val="both"/>
              <w:rPr>
                <w:rFonts w:ascii="Arial" w:hAnsi="Arial" w:cs="Arial"/>
                <w:sz w:val="22"/>
                <w:szCs w:val="22"/>
              </w:rPr>
            </w:pPr>
            <w:r w:rsidRPr="00EE6BED">
              <w:rPr>
                <w:rFonts w:ascii="Arial" w:hAnsi="Arial" w:cs="Arial"/>
                <w:sz w:val="22"/>
                <w:szCs w:val="22"/>
              </w:rPr>
              <w:t xml:space="preserve">In the event that project plans change to include areas not included in the original project plan, additional reconnaissance shall be required prior to any earth disturbing activities to identify any potential cultural or paleontological resources or human remains. If any cultural resources are identified, Siskiyou County shall consider mitigation recommendations presented by a qualified archaeologist that meets the Secretary of the Interior's Professional Qualification Standards in prehistoric or historical archaeology for any unanticipated discoveries. The County and the project </w:t>
            </w:r>
            <w:r w:rsidRPr="00EE6BED">
              <w:rPr>
                <w:rFonts w:ascii="Arial" w:hAnsi="Arial" w:cs="Arial"/>
                <w:sz w:val="22"/>
                <w:szCs w:val="22"/>
              </w:rPr>
              <w:lastRenderedPageBreak/>
              <w:t>applicant shall consult and agree upon implementation of a measure or measures that the County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65E2FD93" w14:textId="77777777" w:rsidR="0016712B" w:rsidRPr="00EE6BED" w:rsidRDefault="0016712B">
            <w:pPr>
              <w:rPr>
                <w:rFonts w:ascii="Arial" w:hAnsi="Arial" w:cs="Arial"/>
              </w:rPr>
            </w:pPr>
          </w:p>
        </w:tc>
        <w:tc>
          <w:tcPr>
            <w:tcW w:w="0" w:type="auto"/>
          </w:tcPr>
          <w:p w14:paraId="5026DEEC" w14:textId="17391B50" w:rsidR="0016712B" w:rsidRPr="00EE6BED" w:rsidRDefault="0016712B">
            <w:pPr>
              <w:rPr>
                <w:rFonts w:ascii="Arial" w:hAnsi="Arial" w:cs="Arial"/>
              </w:rPr>
            </w:pPr>
            <w:r>
              <w:rPr>
                <w:rFonts w:ascii="Arial" w:hAnsi="Arial" w:cs="Arial"/>
              </w:rPr>
              <w:lastRenderedPageBreak/>
              <w:t>Duration of project</w:t>
            </w:r>
          </w:p>
        </w:tc>
        <w:tc>
          <w:tcPr>
            <w:tcW w:w="0" w:type="auto"/>
          </w:tcPr>
          <w:p w14:paraId="7E42DA7F" w14:textId="2B298CA4" w:rsidR="0016712B" w:rsidRPr="00EE6BED" w:rsidRDefault="0016712B">
            <w:pPr>
              <w:rPr>
                <w:rFonts w:ascii="Arial" w:hAnsi="Arial" w:cs="Arial"/>
              </w:rPr>
            </w:pPr>
            <w:r>
              <w:rPr>
                <w:rFonts w:ascii="Arial" w:hAnsi="Arial" w:cs="Arial"/>
              </w:rPr>
              <w:t xml:space="preserve">Applicant/Archaeologist </w:t>
            </w:r>
          </w:p>
        </w:tc>
        <w:tc>
          <w:tcPr>
            <w:tcW w:w="0" w:type="auto"/>
          </w:tcPr>
          <w:p w14:paraId="65C54760" w14:textId="45E24338" w:rsidR="0016712B" w:rsidRPr="00EE6BED" w:rsidRDefault="0016712B">
            <w:pPr>
              <w:rPr>
                <w:rFonts w:ascii="Arial" w:hAnsi="Arial" w:cs="Arial"/>
              </w:rPr>
            </w:pPr>
            <w:r>
              <w:rPr>
                <w:rFonts w:ascii="Arial" w:hAnsi="Arial" w:cs="Arial"/>
              </w:rPr>
              <w:t>County</w:t>
            </w:r>
          </w:p>
        </w:tc>
        <w:tc>
          <w:tcPr>
            <w:tcW w:w="0" w:type="auto"/>
          </w:tcPr>
          <w:p w14:paraId="07896F08" w14:textId="77777777" w:rsidR="0016712B" w:rsidRPr="00EE6BED" w:rsidRDefault="0016712B">
            <w:pPr>
              <w:rPr>
                <w:rFonts w:ascii="Arial" w:hAnsi="Arial" w:cs="Arial"/>
              </w:rPr>
            </w:pPr>
          </w:p>
        </w:tc>
        <w:tc>
          <w:tcPr>
            <w:tcW w:w="0" w:type="auto"/>
          </w:tcPr>
          <w:p w14:paraId="3E754479" w14:textId="77777777" w:rsidR="0016712B" w:rsidRPr="00EE6BED" w:rsidRDefault="0016712B">
            <w:pPr>
              <w:rPr>
                <w:rFonts w:ascii="Arial" w:hAnsi="Arial" w:cs="Arial"/>
              </w:rPr>
            </w:pPr>
          </w:p>
        </w:tc>
      </w:tr>
    </w:tbl>
    <w:p w14:paraId="204FCB68" w14:textId="31EA0574" w:rsidR="0045076D" w:rsidRPr="00EE6BED" w:rsidRDefault="0045076D">
      <w:pPr>
        <w:rPr>
          <w:rFonts w:ascii="Arial" w:hAnsi="Arial" w:cs="Arial"/>
        </w:rPr>
      </w:pPr>
    </w:p>
    <w:sectPr w:rsidR="0045076D" w:rsidRPr="00EE6BED" w:rsidSect="00EE6BED">
      <w:pgSz w:w="2448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537C2"/>
    <w:multiLevelType w:val="hybridMultilevel"/>
    <w:tmpl w:val="C8060FA4"/>
    <w:lvl w:ilvl="0" w:tplc="21E80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E6BED"/>
    <w:rsid w:val="0016712B"/>
    <w:rsid w:val="0045076D"/>
    <w:rsid w:val="00582091"/>
    <w:rsid w:val="00CB6E29"/>
    <w:rsid w:val="00EC1756"/>
    <w:rsid w:val="00ED498D"/>
    <w:rsid w:val="00EE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A3F8"/>
  <w15:chartTrackingRefBased/>
  <w15:docId w15:val="{DDBCFFB7-C952-4A20-8F46-26C8AC68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98D"/>
  </w:style>
  <w:style w:type="paragraph" w:styleId="Heading1">
    <w:name w:val="heading 1"/>
    <w:basedOn w:val="Normal"/>
    <w:next w:val="Normal"/>
    <w:link w:val="Heading1Char"/>
    <w:uiPriority w:val="9"/>
    <w:qFormat/>
    <w:rsid w:val="00ED498D"/>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Heading2">
    <w:name w:val="heading 2"/>
    <w:basedOn w:val="Normal"/>
    <w:next w:val="Normal"/>
    <w:link w:val="Heading2Char"/>
    <w:uiPriority w:val="9"/>
    <w:unhideWhenUsed/>
    <w:qFormat/>
    <w:rsid w:val="00ED498D"/>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Heading3">
    <w:name w:val="heading 3"/>
    <w:basedOn w:val="Normal"/>
    <w:next w:val="Normal"/>
    <w:link w:val="Heading3Char"/>
    <w:uiPriority w:val="9"/>
    <w:unhideWhenUsed/>
    <w:qFormat/>
    <w:rsid w:val="00ED498D"/>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Heading4">
    <w:name w:val="heading 4"/>
    <w:basedOn w:val="Normal"/>
    <w:next w:val="Normal"/>
    <w:link w:val="Heading4Char"/>
    <w:uiPriority w:val="9"/>
    <w:unhideWhenUsed/>
    <w:qFormat/>
    <w:rsid w:val="00ED498D"/>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Heading5">
    <w:name w:val="heading 5"/>
    <w:basedOn w:val="Normal"/>
    <w:next w:val="Normal"/>
    <w:link w:val="Heading5Char"/>
    <w:uiPriority w:val="9"/>
    <w:semiHidden/>
    <w:unhideWhenUsed/>
    <w:qFormat/>
    <w:rsid w:val="00ED498D"/>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Heading6">
    <w:name w:val="heading 6"/>
    <w:basedOn w:val="Normal"/>
    <w:next w:val="Normal"/>
    <w:link w:val="Heading6Char"/>
    <w:uiPriority w:val="9"/>
    <w:semiHidden/>
    <w:unhideWhenUsed/>
    <w:qFormat/>
    <w:rsid w:val="00ED498D"/>
    <w:pPr>
      <w:keepNext/>
      <w:keepLines/>
      <w:spacing w:before="40" w:after="0"/>
      <w:outlineLvl w:val="5"/>
    </w:pPr>
    <w:rPr>
      <w:rFonts w:asciiTheme="majorHAnsi" w:eastAsiaTheme="majorEastAsia" w:hAnsiTheme="majorHAnsi" w:cstheme="majorBidi"/>
      <w:color w:val="6AAC91" w:themeColor="accent6"/>
    </w:rPr>
  </w:style>
  <w:style w:type="paragraph" w:styleId="Heading7">
    <w:name w:val="heading 7"/>
    <w:basedOn w:val="Normal"/>
    <w:next w:val="Normal"/>
    <w:link w:val="Heading7Char"/>
    <w:uiPriority w:val="9"/>
    <w:semiHidden/>
    <w:unhideWhenUsed/>
    <w:qFormat/>
    <w:rsid w:val="00ED498D"/>
    <w:pPr>
      <w:keepNext/>
      <w:keepLines/>
      <w:spacing w:before="40" w:after="0"/>
      <w:outlineLvl w:val="6"/>
    </w:pPr>
    <w:rPr>
      <w:rFonts w:asciiTheme="majorHAnsi" w:eastAsiaTheme="majorEastAsia" w:hAnsiTheme="majorHAnsi" w:cstheme="majorBidi"/>
      <w:b/>
      <w:bCs/>
      <w:color w:val="6AAC91" w:themeColor="accent6"/>
    </w:rPr>
  </w:style>
  <w:style w:type="paragraph" w:styleId="Heading8">
    <w:name w:val="heading 8"/>
    <w:basedOn w:val="Normal"/>
    <w:next w:val="Normal"/>
    <w:link w:val="Heading8Char"/>
    <w:uiPriority w:val="9"/>
    <w:semiHidden/>
    <w:unhideWhenUsed/>
    <w:qFormat/>
    <w:rsid w:val="00ED498D"/>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Heading9">
    <w:name w:val="heading 9"/>
    <w:basedOn w:val="Normal"/>
    <w:next w:val="Normal"/>
    <w:link w:val="Heading9Char"/>
    <w:uiPriority w:val="9"/>
    <w:semiHidden/>
    <w:unhideWhenUsed/>
    <w:qFormat/>
    <w:rsid w:val="00ED498D"/>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8D"/>
    <w:pPr>
      <w:ind w:left="720"/>
      <w:contextualSpacing/>
    </w:pPr>
  </w:style>
  <w:style w:type="character" w:customStyle="1" w:styleId="Heading1Char">
    <w:name w:val="Heading 1 Char"/>
    <w:basedOn w:val="DefaultParagraphFont"/>
    <w:link w:val="Heading1"/>
    <w:uiPriority w:val="9"/>
    <w:rsid w:val="00ED498D"/>
    <w:rPr>
      <w:rFonts w:asciiTheme="majorHAnsi" w:eastAsiaTheme="majorEastAsia" w:hAnsiTheme="majorHAnsi" w:cstheme="majorBidi"/>
      <w:color w:val="4A856D" w:themeColor="accent6" w:themeShade="BF"/>
      <w:sz w:val="40"/>
      <w:szCs w:val="40"/>
    </w:rPr>
  </w:style>
  <w:style w:type="character" w:customStyle="1" w:styleId="Heading2Char">
    <w:name w:val="Heading 2 Char"/>
    <w:basedOn w:val="DefaultParagraphFont"/>
    <w:link w:val="Heading2"/>
    <w:uiPriority w:val="9"/>
    <w:rsid w:val="00ED498D"/>
    <w:rPr>
      <w:rFonts w:asciiTheme="majorHAnsi" w:eastAsiaTheme="majorEastAsia" w:hAnsiTheme="majorHAnsi" w:cstheme="majorBidi"/>
      <w:color w:val="4A856D" w:themeColor="accent6" w:themeShade="BF"/>
      <w:sz w:val="28"/>
      <w:szCs w:val="28"/>
    </w:rPr>
  </w:style>
  <w:style w:type="character" w:customStyle="1" w:styleId="Heading3Char">
    <w:name w:val="Heading 3 Char"/>
    <w:basedOn w:val="DefaultParagraphFont"/>
    <w:link w:val="Heading3"/>
    <w:uiPriority w:val="9"/>
    <w:rsid w:val="00ED498D"/>
    <w:rPr>
      <w:rFonts w:asciiTheme="majorHAnsi" w:eastAsiaTheme="majorEastAsia" w:hAnsiTheme="majorHAnsi" w:cstheme="majorBidi"/>
      <w:color w:val="4A856D" w:themeColor="accent6" w:themeShade="BF"/>
      <w:sz w:val="24"/>
      <w:szCs w:val="24"/>
    </w:rPr>
  </w:style>
  <w:style w:type="character" w:customStyle="1" w:styleId="Heading4Char">
    <w:name w:val="Heading 4 Char"/>
    <w:basedOn w:val="DefaultParagraphFont"/>
    <w:link w:val="Heading4"/>
    <w:uiPriority w:val="9"/>
    <w:rsid w:val="00ED498D"/>
    <w:rPr>
      <w:rFonts w:asciiTheme="majorHAnsi" w:eastAsiaTheme="majorEastAsia" w:hAnsiTheme="majorHAnsi" w:cstheme="majorBidi"/>
      <w:color w:val="6AAC91" w:themeColor="accent6"/>
      <w:sz w:val="22"/>
      <w:szCs w:val="22"/>
    </w:rPr>
  </w:style>
  <w:style w:type="character" w:customStyle="1" w:styleId="Heading5Char">
    <w:name w:val="Heading 5 Char"/>
    <w:basedOn w:val="DefaultParagraphFont"/>
    <w:link w:val="Heading5"/>
    <w:uiPriority w:val="9"/>
    <w:semiHidden/>
    <w:rsid w:val="00ED498D"/>
    <w:rPr>
      <w:rFonts w:asciiTheme="majorHAnsi" w:eastAsiaTheme="majorEastAsia" w:hAnsiTheme="majorHAnsi" w:cstheme="majorBidi"/>
      <w:i/>
      <w:iCs/>
      <w:color w:val="6AAC91" w:themeColor="accent6"/>
      <w:sz w:val="22"/>
      <w:szCs w:val="22"/>
    </w:rPr>
  </w:style>
  <w:style w:type="character" w:customStyle="1" w:styleId="Heading6Char">
    <w:name w:val="Heading 6 Char"/>
    <w:basedOn w:val="DefaultParagraphFont"/>
    <w:link w:val="Heading6"/>
    <w:uiPriority w:val="9"/>
    <w:semiHidden/>
    <w:rsid w:val="00ED498D"/>
    <w:rPr>
      <w:rFonts w:asciiTheme="majorHAnsi" w:eastAsiaTheme="majorEastAsia" w:hAnsiTheme="majorHAnsi" w:cstheme="majorBidi"/>
      <w:color w:val="6AAC91" w:themeColor="accent6"/>
    </w:rPr>
  </w:style>
  <w:style w:type="character" w:customStyle="1" w:styleId="Heading7Char">
    <w:name w:val="Heading 7 Char"/>
    <w:basedOn w:val="DefaultParagraphFont"/>
    <w:link w:val="Heading7"/>
    <w:uiPriority w:val="9"/>
    <w:semiHidden/>
    <w:rsid w:val="00ED498D"/>
    <w:rPr>
      <w:rFonts w:asciiTheme="majorHAnsi" w:eastAsiaTheme="majorEastAsia" w:hAnsiTheme="majorHAnsi" w:cstheme="majorBidi"/>
      <w:b/>
      <w:bCs/>
      <w:color w:val="6AAC91" w:themeColor="accent6"/>
    </w:rPr>
  </w:style>
  <w:style w:type="character" w:customStyle="1" w:styleId="Heading8Char">
    <w:name w:val="Heading 8 Char"/>
    <w:basedOn w:val="DefaultParagraphFont"/>
    <w:link w:val="Heading8"/>
    <w:uiPriority w:val="9"/>
    <w:semiHidden/>
    <w:rsid w:val="00ED498D"/>
    <w:rPr>
      <w:rFonts w:asciiTheme="majorHAnsi" w:eastAsiaTheme="majorEastAsia" w:hAnsiTheme="majorHAnsi" w:cstheme="majorBidi"/>
      <w:b/>
      <w:bCs/>
      <w:i/>
      <w:iCs/>
      <w:color w:val="6AAC91" w:themeColor="accent6"/>
      <w:sz w:val="20"/>
      <w:szCs w:val="20"/>
    </w:rPr>
  </w:style>
  <w:style w:type="character" w:customStyle="1" w:styleId="Heading9Char">
    <w:name w:val="Heading 9 Char"/>
    <w:basedOn w:val="DefaultParagraphFont"/>
    <w:link w:val="Heading9"/>
    <w:uiPriority w:val="9"/>
    <w:semiHidden/>
    <w:rsid w:val="00ED498D"/>
    <w:rPr>
      <w:rFonts w:asciiTheme="majorHAnsi" w:eastAsiaTheme="majorEastAsia" w:hAnsiTheme="majorHAnsi" w:cstheme="majorBidi"/>
      <w:i/>
      <w:iCs/>
      <w:color w:val="6AAC91" w:themeColor="accent6"/>
      <w:sz w:val="20"/>
      <w:szCs w:val="20"/>
    </w:rPr>
  </w:style>
  <w:style w:type="paragraph" w:styleId="Caption">
    <w:name w:val="caption"/>
    <w:basedOn w:val="Normal"/>
    <w:next w:val="Normal"/>
    <w:uiPriority w:val="35"/>
    <w:semiHidden/>
    <w:unhideWhenUsed/>
    <w:qFormat/>
    <w:rsid w:val="00ED498D"/>
    <w:pPr>
      <w:spacing w:line="240" w:lineRule="auto"/>
    </w:pPr>
    <w:rPr>
      <w:b/>
      <w:bCs/>
      <w:smallCaps/>
      <w:color w:val="595959" w:themeColor="text1" w:themeTint="A6"/>
    </w:rPr>
  </w:style>
  <w:style w:type="paragraph" w:styleId="Title">
    <w:name w:val="Title"/>
    <w:basedOn w:val="Normal"/>
    <w:next w:val="Normal"/>
    <w:link w:val="TitleChar"/>
    <w:uiPriority w:val="10"/>
    <w:qFormat/>
    <w:rsid w:val="00ED498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D498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D498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D498D"/>
    <w:rPr>
      <w:rFonts w:asciiTheme="majorHAnsi" w:eastAsiaTheme="majorEastAsia" w:hAnsiTheme="majorHAnsi" w:cstheme="majorBidi"/>
      <w:sz w:val="30"/>
      <w:szCs w:val="30"/>
    </w:rPr>
  </w:style>
  <w:style w:type="character" w:styleId="Strong">
    <w:name w:val="Strong"/>
    <w:basedOn w:val="DefaultParagraphFont"/>
    <w:uiPriority w:val="22"/>
    <w:qFormat/>
    <w:rsid w:val="00ED498D"/>
    <w:rPr>
      <w:b/>
      <w:bCs/>
    </w:rPr>
  </w:style>
  <w:style w:type="character" w:styleId="Emphasis">
    <w:name w:val="Emphasis"/>
    <w:basedOn w:val="DefaultParagraphFont"/>
    <w:uiPriority w:val="20"/>
    <w:qFormat/>
    <w:rsid w:val="00ED498D"/>
    <w:rPr>
      <w:i/>
      <w:iCs/>
      <w:color w:val="6AAC91" w:themeColor="accent6"/>
    </w:rPr>
  </w:style>
  <w:style w:type="paragraph" w:styleId="NoSpacing">
    <w:name w:val="No Spacing"/>
    <w:uiPriority w:val="1"/>
    <w:qFormat/>
    <w:rsid w:val="00ED498D"/>
    <w:pPr>
      <w:spacing w:after="0" w:line="240" w:lineRule="auto"/>
    </w:pPr>
  </w:style>
  <w:style w:type="paragraph" w:styleId="Quote">
    <w:name w:val="Quote"/>
    <w:basedOn w:val="Normal"/>
    <w:next w:val="Normal"/>
    <w:link w:val="QuoteChar"/>
    <w:uiPriority w:val="29"/>
    <w:qFormat/>
    <w:rsid w:val="00ED498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D498D"/>
    <w:rPr>
      <w:i/>
      <w:iCs/>
      <w:color w:val="262626" w:themeColor="text1" w:themeTint="D9"/>
    </w:rPr>
  </w:style>
  <w:style w:type="paragraph" w:styleId="IntenseQuote">
    <w:name w:val="Intense Quote"/>
    <w:basedOn w:val="Normal"/>
    <w:next w:val="Normal"/>
    <w:link w:val="IntenseQuoteChar"/>
    <w:uiPriority w:val="30"/>
    <w:qFormat/>
    <w:rsid w:val="00ED498D"/>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IntenseQuoteChar">
    <w:name w:val="Intense Quote Char"/>
    <w:basedOn w:val="DefaultParagraphFont"/>
    <w:link w:val="IntenseQuote"/>
    <w:uiPriority w:val="30"/>
    <w:rsid w:val="00ED498D"/>
    <w:rPr>
      <w:rFonts w:asciiTheme="majorHAnsi" w:eastAsiaTheme="majorEastAsia" w:hAnsiTheme="majorHAnsi" w:cstheme="majorBidi"/>
      <w:i/>
      <w:iCs/>
      <w:color w:val="6AAC91" w:themeColor="accent6"/>
      <w:sz w:val="32"/>
      <w:szCs w:val="32"/>
    </w:rPr>
  </w:style>
  <w:style w:type="character" w:styleId="SubtleEmphasis">
    <w:name w:val="Subtle Emphasis"/>
    <w:basedOn w:val="DefaultParagraphFont"/>
    <w:uiPriority w:val="19"/>
    <w:qFormat/>
    <w:rsid w:val="00ED498D"/>
    <w:rPr>
      <w:i/>
      <w:iCs/>
    </w:rPr>
  </w:style>
  <w:style w:type="character" w:styleId="IntenseEmphasis">
    <w:name w:val="Intense Emphasis"/>
    <w:basedOn w:val="DefaultParagraphFont"/>
    <w:uiPriority w:val="21"/>
    <w:qFormat/>
    <w:rsid w:val="00ED498D"/>
    <w:rPr>
      <w:b/>
      <w:bCs/>
      <w:i/>
      <w:iCs/>
    </w:rPr>
  </w:style>
  <w:style w:type="character" w:styleId="SubtleReference">
    <w:name w:val="Subtle Reference"/>
    <w:basedOn w:val="DefaultParagraphFont"/>
    <w:uiPriority w:val="31"/>
    <w:qFormat/>
    <w:rsid w:val="00ED498D"/>
    <w:rPr>
      <w:smallCaps/>
      <w:color w:val="595959" w:themeColor="text1" w:themeTint="A6"/>
    </w:rPr>
  </w:style>
  <w:style w:type="character" w:styleId="IntenseReference">
    <w:name w:val="Intense Reference"/>
    <w:basedOn w:val="DefaultParagraphFont"/>
    <w:uiPriority w:val="32"/>
    <w:qFormat/>
    <w:rsid w:val="00ED498D"/>
    <w:rPr>
      <w:b/>
      <w:bCs/>
      <w:smallCaps/>
      <w:color w:val="6AAC91" w:themeColor="accent6"/>
    </w:rPr>
  </w:style>
  <w:style w:type="character" w:styleId="BookTitle">
    <w:name w:val="Book Title"/>
    <w:basedOn w:val="DefaultParagraphFont"/>
    <w:uiPriority w:val="33"/>
    <w:qFormat/>
    <w:rsid w:val="00ED498D"/>
    <w:rPr>
      <w:b/>
      <w:bCs/>
      <w:caps w:val="0"/>
      <w:smallCaps/>
      <w:spacing w:val="7"/>
      <w:sz w:val="21"/>
      <w:szCs w:val="21"/>
    </w:rPr>
  </w:style>
  <w:style w:type="paragraph" w:styleId="TOCHeading">
    <w:name w:val="TOC Heading"/>
    <w:basedOn w:val="Heading1"/>
    <w:next w:val="Normal"/>
    <w:uiPriority w:val="39"/>
    <w:semiHidden/>
    <w:unhideWhenUsed/>
    <w:qFormat/>
    <w:rsid w:val="00ED498D"/>
    <w:pPr>
      <w:outlineLvl w:val="9"/>
    </w:pPr>
  </w:style>
  <w:style w:type="table" w:styleId="TableGrid">
    <w:name w:val="Table Grid"/>
    <w:basedOn w:val="TableNormal"/>
    <w:uiPriority w:val="39"/>
    <w:rsid w:val="00EE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Lang</dc:creator>
  <cp:keywords/>
  <dc:description/>
  <cp:lastModifiedBy>William Carroll</cp:lastModifiedBy>
  <cp:revision>3</cp:revision>
  <dcterms:created xsi:type="dcterms:W3CDTF">2022-11-22T23:19:00Z</dcterms:created>
  <dcterms:modified xsi:type="dcterms:W3CDTF">2022-11-30T16:17:00Z</dcterms:modified>
</cp:coreProperties>
</file>