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57066">
              <w:rPr>
                <w:rFonts w:cs="Arial"/>
                <w:b/>
                <w:sz w:val="20"/>
                <w:szCs w:val="20"/>
              </w:rPr>
            </w:r>
            <w:r w:rsidR="0035706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202E1FC7" w:rsidR="009A58CF" w:rsidRPr="004E6635" w:rsidRDefault="00E05A1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92A62BF" w:rsidR="009A58CF" w:rsidRPr="004E6635" w:rsidRDefault="00AD68E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E05A17">
              <w:rPr>
                <w:rFonts w:cs="Arial"/>
                <w:b/>
                <w:sz w:val="20"/>
                <w:szCs w:val="20"/>
              </w:rPr>
              <w:t>1/1</w:t>
            </w:r>
            <w:r w:rsidR="00083C1D"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57066">
              <w:rPr>
                <w:rFonts w:cs="Arial"/>
                <w:b/>
                <w:sz w:val="20"/>
                <w:szCs w:val="20"/>
              </w:rPr>
            </w:r>
            <w:r w:rsidR="0035706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4C1C0CCD" w:rsidR="00A334D5" w:rsidRDefault="00E05A17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Jopson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D30160"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4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>
              <w:rPr>
                <w:rFonts w:cs="Arial"/>
                <w:sz w:val="20"/>
                <w:szCs w:val="20"/>
              </w:rPr>
              <w:t>, which currently has seven separate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timber production</w:t>
            </w:r>
            <w:r w:rsidR="00BE4EA3">
              <w:rPr>
                <w:rFonts w:cs="Arial"/>
                <w:sz w:val="20"/>
                <w:szCs w:val="20"/>
              </w:rPr>
              <w:t>.</w:t>
            </w:r>
          </w:p>
          <w:p w14:paraId="26E6D5BF" w14:textId="6B240490" w:rsidR="00A23D4F" w:rsidRPr="004E6635" w:rsidRDefault="00A23D4F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7066">
              <w:rPr>
                <w:rFonts w:cs="Arial"/>
                <w:sz w:val="18"/>
                <w:szCs w:val="18"/>
              </w:rPr>
            </w:r>
            <w:r w:rsidR="0035706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C755578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All properties are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7066">
              <w:rPr>
                <w:rFonts w:cs="Arial"/>
                <w:sz w:val="18"/>
                <w:szCs w:val="18"/>
              </w:rPr>
            </w:r>
            <w:r w:rsidR="0035706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7066">
              <w:rPr>
                <w:rFonts w:cs="Arial"/>
                <w:sz w:val="18"/>
                <w:szCs w:val="18"/>
              </w:rPr>
            </w:r>
            <w:r w:rsidR="003570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7066">
              <w:rPr>
                <w:rFonts w:cs="Arial"/>
                <w:sz w:val="18"/>
                <w:szCs w:val="18"/>
              </w:rPr>
            </w:r>
            <w:r w:rsidR="003570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0B3C3A" w:rsidRDefault="00FE2F20" w:rsidP="00FE2F20">
            <w:pPr>
              <w:spacing w:after="60"/>
              <w:rPr>
                <w:rFonts w:cs="Arial"/>
                <w:sz w:val="20"/>
                <w:szCs w:val="20"/>
              </w:rPr>
            </w:pPr>
            <w:r w:rsidRPr="000B3C3A">
              <w:rPr>
                <w:rFonts w:cs="Arial"/>
                <w:sz w:val="20"/>
                <w:szCs w:val="20"/>
              </w:rPr>
              <w:t xml:space="preserve">I move </w:t>
            </w:r>
            <w:r w:rsidR="00B07922" w:rsidRPr="000B3C3A">
              <w:rPr>
                <w:rFonts w:cs="Arial"/>
                <w:sz w:val="20"/>
                <w:szCs w:val="20"/>
              </w:rPr>
              <w:t>to take</w:t>
            </w:r>
            <w:r w:rsidRPr="000B3C3A">
              <w:rPr>
                <w:rFonts w:cs="Arial"/>
                <w:sz w:val="20"/>
                <w:szCs w:val="20"/>
              </w:rPr>
              <w:t xml:space="preserve"> the following actions: </w:t>
            </w:r>
          </w:p>
          <w:p w14:paraId="7DBF21C2" w14:textId="77777777" w:rsidR="00E05A17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20"/>
                <w:szCs w:val="20"/>
              </w:rPr>
            </w:pPr>
            <w:bookmarkStart w:id="13" w:name="_Hlk105072752"/>
            <w:r>
              <w:rPr>
                <w:rFonts w:cs="Arial"/>
                <w:sz w:val="20"/>
                <w:szCs w:val="20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5A72D409" w14:textId="0AA53635" w:rsidR="00B07922" w:rsidRPr="00AD68EB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Adopt the attached resolution approving the rescission and reentry of the applicable Williamson Act contract</w:t>
            </w:r>
            <w:r w:rsidR="001F75B0">
              <w:rPr>
                <w:rFonts w:cs="Arial"/>
                <w:sz w:val="20"/>
                <w:szCs w:val="20"/>
              </w:rPr>
              <w:t>.</w:t>
            </w:r>
            <w:bookmarkEnd w:id="13"/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23772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D1B24"/>
    <w:rsid w:val="00DE216E"/>
    <w:rsid w:val="00DF2C0D"/>
    <w:rsid w:val="00DF4076"/>
    <w:rsid w:val="00DF6B41"/>
    <w:rsid w:val="00E05A17"/>
    <w:rsid w:val="00E07475"/>
    <w:rsid w:val="00E15743"/>
    <w:rsid w:val="00E4509D"/>
    <w:rsid w:val="00E66BAF"/>
    <w:rsid w:val="00E811E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282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2022-10-17T18:23:00Z</dcterms:created>
  <dcterms:modified xsi:type="dcterms:W3CDTF">2022-10-17T23:53:00Z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