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6303D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562" w:rsidRPr="00F444E3" w:rsidRDefault="00682562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682562" w:rsidRPr="00F444E3" w:rsidRDefault="00682562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682562" w:rsidRPr="00F444E3" w:rsidRDefault="00682562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682562" w:rsidRPr="00F444E3" w:rsidRDefault="00682562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562" w:rsidRPr="00F444E3" w:rsidRDefault="00682562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682562" w:rsidRPr="00F444E3" w:rsidRDefault="00682562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682562" w:rsidRPr="00F444E3" w:rsidRDefault="00682562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682562" w:rsidRPr="00F444E3" w:rsidRDefault="00682562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C40E4D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AE05A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9B64CD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 xml:space="preserve"> 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AE05A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5751F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5751F4">
              <w:rPr>
                <w:rFonts w:ascii="Calibri" w:hAnsi="Calibri"/>
                <w:b/>
                <w:sz w:val="20"/>
                <w:szCs w:val="20"/>
              </w:rPr>
              <w:t>/2</w:t>
            </w:r>
            <w:r w:rsidR="001F512D">
              <w:rPr>
                <w:rFonts w:ascii="Calibri" w:hAnsi="Calibri"/>
                <w:b/>
                <w:sz w:val="20"/>
                <w:szCs w:val="20"/>
              </w:rPr>
              <w:t>02</w:t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C40E4D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AE05A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40E4D">
              <w:rPr>
                <w:rFonts w:ascii="Calibri" w:hAnsi="Calibri"/>
                <w:b/>
                <w:sz w:val="20"/>
                <w:szCs w:val="20"/>
              </w:rPr>
              <w:t>Com. Dev. Dept.</w:t>
            </w:r>
            <w:r w:rsidR="00134D8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40E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OES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134D8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</w:t>
            </w:r>
            <w:r w:rsidR="00134D88">
              <w:rPr>
                <w:rFonts w:ascii="Calibri" w:hAnsi="Calibri"/>
                <w:b/>
                <w:sz w:val="20"/>
                <w:szCs w:val="20"/>
              </w:rPr>
              <w:t>1-2113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C40E4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40E4D">
              <w:rPr>
                <w:rFonts w:ascii="Calibri" w:hAnsi="Calibri"/>
                <w:b/>
                <w:sz w:val="20"/>
                <w:szCs w:val="20"/>
              </w:rPr>
              <w:t>806 South Main Street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134D8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40E4D">
              <w:rPr>
                <w:rFonts w:ascii="Calibri" w:hAnsi="Calibri"/>
                <w:b/>
                <w:sz w:val="20"/>
                <w:szCs w:val="20"/>
              </w:rPr>
              <w:t xml:space="preserve">Rick Dean, CDD Director; </w:t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Bryan S</w:t>
            </w:r>
            <w:r w:rsidR="00134D88">
              <w:rPr>
                <w:rFonts w:ascii="Calibri" w:hAnsi="Calibri"/>
                <w:b/>
                <w:sz w:val="20"/>
                <w:szCs w:val="20"/>
              </w:rPr>
              <w:t>che</w:t>
            </w:r>
            <w:r w:rsidR="00AE05A3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134D88">
              <w:rPr>
                <w:rFonts w:ascii="Calibri" w:hAnsi="Calibri"/>
                <w:b/>
                <w:sz w:val="20"/>
                <w:szCs w:val="20"/>
              </w:rPr>
              <w:t>one, Deputy Director of OES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B29D2" w:rsidRDefault="00A35339" w:rsidP="00C40E4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regarding adoption of an </w:t>
            </w:r>
            <w:r w:rsidR="009B64CD">
              <w:rPr>
                <w:rFonts w:ascii="Calibri" w:hAnsi="Calibri"/>
                <w:sz w:val="20"/>
                <w:szCs w:val="20"/>
              </w:rPr>
              <w:t>urgency o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>rdinance</w:t>
            </w:r>
            <w:r w:rsidR="00AE05A3">
              <w:rPr>
                <w:rFonts w:ascii="Calibri" w:hAnsi="Calibri"/>
                <w:sz w:val="20"/>
                <w:szCs w:val="20"/>
              </w:rPr>
              <w:t xml:space="preserve"> for the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E05A3">
              <w:rPr>
                <w:rFonts w:ascii="Calibri" w:hAnsi="Calibri"/>
                <w:sz w:val="20"/>
                <w:szCs w:val="20"/>
              </w:rPr>
              <w:t>2022 Siskiyou County Fire</w:t>
            </w:r>
            <w:r w:rsidR="006B29D2" w:rsidRPr="006B29D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E05A3">
              <w:rPr>
                <w:rFonts w:ascii="Calibri" w:hAnsi="Calibri"/>
                <w:sz w:val="20"/>
                <w:szCs w:val="20"/>
              </w:rPr>
              <w:t>Damage to establish requirements for the removal of fire damaged debris from private property caused by the Mckinneny, Mill and Mountain fires.</w:t>
            </w:r>
          </w:p>
          <w:p w:rsidR="003B0DB8" w:rsidRDefault="003B0DB8" w:rsidP="00C40E4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Collectively 2022 Siskiyou County wildland fires destroyed 219 homes and burned approximately 75,000 acres</w:t>
            </w:r>
            <w:r w:rsidR="00414114">
              <w:rPr>
                <w:rFonts w:ascii="Calibri" w:hAnsi="Calibri"/>
                <w:sz w:val="20"/>
                <w:szCs w:val="20"/>
              </w:rPr>
              <w:t xml:space="preserve"> of land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="003854EF" w:rsidRPr="003854EF">
              <w:rPr>
                <w:rFonts w:ascii="Calibri" w:hAnsi="Calibri"/>
                <w:sz w:val="20"/>
                <w:szCs w:val="20"/>
              </w:rPr>
              <w:t xml:space="preserve">Proclamations of local emergency were declared for the McKinney and Mill/Mountain fires on July 30, and September 2, 2022 and ratified by the Board of Supervisors on August 2 and September 6, 2022 respectively. </w:t>
            </w:r>
            <w:r w:rsidR="003854EF">
              <w:rPr>
                <w:rFonts w:ascii="Calibri" w:hAnsi="Calibri"/>
                <w:sz w:val="20"/>
                <w:szCs w:val="20"/>
              </w:rPr>
              <w:t xml:space="preserve"> On September 2, 2022 </w:t>
            </w:r>
            <w:r w:rsidR="003854EF" w:rsidRPr="003854EF">
              <w:rPr>
                <w:rFonts w:ascii="Calibri" w:hAnsi="Calibri"/>
                <w:sz w:val="20"/>
                <w:szCs w:val="20"/>
              </w:rPr>
              <w:t xml:space="preserve">pursuant to Government Code section 8625, California Governor Newsom declared a state of emergency </w:t>
            </w:r>
            <w:r w:rsidR="003854EF">
              <w:rPr>
                <w:rFonts w:ascii="Calibri" w:hAnsi="Calibri"/>
                <w:sz w:val="20"/>
                <w:szCs w:val="20"/>
              </w:rPr>
              <w:t>for the</w:t>
            </w:r>
            <w:r w:rsidR="003854EF" w:rsidRPr="003854EF">
              <w:rPr>
                <w:rFonts w:ascii="Calibri" w:hAnsi="Calibri"/>
                <w:sz w:val="20"/>
                <w:szCs w:val="20"/>
              </w:rPr>
              <w:t xml:space="preserve"> County of Siskiyou</w:t>
            </w:r>
            <w:r w:rsidR="003854EF">
              <w:rPr>
                <w:rFonts w:ascii="Calibri" w:hAnsi="Calibri"/>
                <w:sz w:val="20"/>
                <w:szCs w:val="20"/>
              </w:rPr>
              <w:t xml:space="preserve"> and is </w:t>
            </w:r>
            <w:r w:rsidR="00414114">
              <w:rPr>
                <w:rFonts w:ascii="Calibri" w:hAnsi="Calibri"/>
                <w:sz w:val="20"/>
                <w:szCs w:val="20"/>
              </w:rPr>
              <w:t>providing</w:t>
            </w:r>
            <w:r w:rsidR="003854E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4114">
              <w:rPr>
                <w:rFonts w:ascii="Calibri" w:hAnsi="Calibri"/>
                <w:sz w:val="20"/>
                <w:szCs w:val="20"/>
              </w:rPr>
              <w:t xml:space="preserve">the "State Debris and Hazard Tree Removal Program" </w:t>
            </w:r>
            <w:r w:rsidR="003854EF">
              <w:rPr>
                <w:rFonts w:ascii="Calibri" w:hAnsi="Calibri"/>
                <w:sz w:val="20"/>
                <w:szCs w:val="20"/>
              </w:rPr>
              <w:t>resources to cleanup fire debris</w:t>
            </w:r>
            <w:r w:rsidR="00414114">
              <w:rPr>
                <w:rFonts w:ascii="Calibri" w:hAnsi="Calibri"/>
                <w:sz w:val="20"/>
                <w:szCs w:val="20"/>
              </w:rPr>
              <w:t>.  The subject urgency ordinance if approved will insure that qualif</w:t>
            </w:r>
            <w:r w:rsidR="00134D88">
              <w:rPr>
                <w:rFonts w:ascii="Calibri" w:hAnsi="Calibri"/>
                <w:sz w:val="20"/>
                <w:szCs w:val="20"/>
              </w:rPr>
              <w:t>y</w:t>
            </w:r>
            <w:r w:rsidR="00414114">
              <w:rPr>
                <w:rFonts w:ascii="Calibri" w:hAnsi="Calibri"/>
                <w:sz w:val="20"/>
                <w:szCs w:val="20"/>
              </w:rPr>
              <w:t>ing fire damaged properties are cleaned up and or abated.</w:t>
            </w:r>
          </w:p>
          <w:p w:rsidR="00877DC5" w:rsidRPr="00E66BAF" w:rsidRDefault="00A35339" w:rsidP="00AE05A3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34541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C12AD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2B4B7B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95B62">
              <w:rPr>
                <w:rFonts w:ascii="Calibri" w:hAnsi="Calibri"/>
                <w:noProof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134D88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9B64CD" w:rsidRPr="009B64CD">
              <w:rPr>
                <w:rFonts w:ascii="Calibri" w:hAnsi="Calibri"/>
              </w:rPr>
              <w:t xml:space="preserve">If the Board so desires: 1. Approve, by a four-fifth's (4/5's) vote, the urgency ordinance </w:t>
            </w:r>
            <w:r w:rsidR="00055D04">
              <w:rPr>
                <w:rFonts w:ascii="Calibri" w:hAnsi="Calibri"/>
              </w:rPr>
              <w:t xml:space="preserve">to establish requirements for the removal of fire damaged debris from private properties within </w:t>
            </w:r>
            <w:r w:rsidR="00134D88">
              <w:rPr>
                <w:rFonts w:ascii="Calibri" w:hAnsi="Calibri"/>
              </w:rPr>
              <w:t>S</w:t>
            </w:r>
            <w:r w:rsidR="00055D04">
              <w:rPr>
                <w:rFonts w:ascii="Calibri" w:hAnsi="Calibri"/>
              </w:rPr>
              <w:t xml:space="preserve">iskiyou </w:t>
            </w:r>
            <w:r w:rsidR="00134D88">
              <w:rPr>
                <w:rFonts w:ascii="Calibri" w:hAnsi="Calibri"/>
              </w:rPr>
              <w:t xml:space="preserve">County </w:t>
            </w:r>
            <w:r w:rsidR="00055D04">
              <w:rPr>
                <w:rFonts w:ascii="Calibri" w:hAnsi="Calibri"/>
              </w:rPr>
              <w:t xml:space="preserve">affected by the 2022 McKinney, Mill and Mountain wildland fires </w:t>
            </w:r>
            <w:r w:rsidR="009B64CD" w:rsidRPr="009B64CD">
              <w:rPr>
                <w:rFonts w:ascii="Calibri" w:hAnsi="Calibri"/>
              </w:rPr>
              <w:t>2.  Direct the clerk to publish notice of the ordinance within 15 days.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Pr="00E66BA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6207"/>
    <w:rsid w:val="000463C4"/>
    <w:rsid w:val="00055D04"/>
    <w:rsid w:val="000574AA"/>
    <w:rsid w:val="000579FB"/>
    <w:rsid w:val="00062DC7"/>
    <w:rsid w:val="00072947"/>
    <w:rsid w:val="000756B5"/>
    <w:rsid w:val="0007686D"/>
    <w:rsid w:val="0008406C"/>
    <w:rsid w:val="00096E88"/>
    <w:rsid w:val="000A1265"/>
    <w:rsid w:val="000A484E"/>
    <w:rsid w:val="000B6728"/>
    <w:rsid w:val="000D6B91"/>
    <w:rsid w:val="000E30ED"/>
    <w:rsid w:val="000E587B"/>
    <w:rsid w:val="00104686"/>
    <w:rsid w:val="001214CB"/>
    <w:rsid w:val="00134D88"/>
    <w:rsid w:val="001370B6"/>
    <w:rsid w:val="0015055F"/>
    <w:rsid w:val="0016303D"/>
    <w:rsid w:val="0017656E"/>
    <w:rsid w:val="001774ED"/>
    <w:rsid w:val="001A6A36"/>
    <w:rsid w:val="001C1DA3"/>
    <w:rsid w:val="001C598E"/>
    <w:rsid w:val="001D7728"/>
    <w:rsid w:val="001E08E0"/>
    <w:rsid w:val="001E0B1E"/>
    <w:rsid w:val="001E5990"/>
    <w:rsid w:val="001E77A6"/>
    <w:rsid w:val="001F3E19"/>
    <w:rsid w:val="001F512D"/>
    <w:rsid w:val="0020052F"/>
    <w:rsid w:val="00212F2B"/>
    <w:rsid w:val="00241B8A"/>
    <w:rsid w:val="00245944"/>
    <w:rsid w:val="00261ED5"/>
    <w:rsid w:val="002677F3"/>
    <w:rsid w:val="00270599"/>
    <w:rsid w:val="00287974"/>
    <w:rsid w:val="0029655A"/>
    <w:rsid w:val="002A1714"/>
    <w:rsid w:val="002B4B7B"/>
    <w:rsid w:val="00310441"/>
    <w:rsid w:val="00325915"/>
    <w:rsid w:val="00330F8B"/>
    <w:rsid w:val="00332CFC"/>
    <w:rsid w:val="0035119D"/>
    <w:rsid w:val="00363448"/>
    <w:rsid w:val="003761D4"/>
    <w:rsid w:val="003854EF"/>
    <w:rsid w:val="00396C4B"/>
    <w:rsid w:val="003A20A5"/>
    <w:rsid w:val="003B0DB8"/>
    <w:rsid w:val="003B37F5"/>
    <w:rsid w:val="003C12AD"/>
    <w:rsid w:val="003C5180"/>
    <w:rsid w:val="003F4423"/>
    <w:rsid w:val="00414114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A5412"/>
    <w:rsid w:val="004C3523"/>
    <w:rsid w:val="004C6E21"/>
    <w:rsid w:val="004D3734"/>
    <w:rsid w:val="004E2310"/>
    <w:rsid w:val="00506225"/>
    <w:rsid w:val="00557998"/>
    <w:rsid w:val="005655CE"/>
    <w:rsid w:val="00571C5E"/>
    <w:rsid w:val="00574354"/>
    <w:rsid w:val="005751F4"/>
    <w:rsid w:val="00593663"/>
    <w:rsid w:val="005A5A91"/>
    <w:rsid w:val="005A6EB1"/>
    <w:rsid w:val="005C206F"/>
    <w:rsid w:val="005E298E"/>
    <w:rsid w:val="005F126E"/>
    <w:rsid w:val="005F35D7"/>
    <w:rsid w:val="00613BD9"/>
    <w:rsid w:val="00630A78"/>
    <w:rsid w:val="006331AA"/>
    <w:rsid w:val="00645B7E"/>
    <w:rsid w:val="006526E7"/>
    <w:rsid w:val="00656361"/>
    <w:rsid w:val="00662F60"/>
    <w:rsid w:val="006746E5"/>
    <w:rsid w:val="0067571B"/>
    <w:rsid w:val="00677610"/>
    <w:rsid w:val="00677ACC"/>
    <w:rsid w:val="00682562"/>
    <w:rsid w:val="00691709"/>
    <w:rsid w:val="00695B62"/>
    <w:rsid w:val="00695FCD"/>
    <w:rsid w:val="006B29D2"/>
    <w:rsid w:val="006D76D4"/>
    <w:rsid w:val="00707E89"/>
    <w:rsid w:val="00734A61"/>
    <w:rsid w:val="00750666"/>
    <w:rsid w:val="00757A9B"/>
    <w:rsid w:val="00761063"/>
    <w:rsid w:val="007710D6"/>
    <w:rsid w:val="00784866"/>
    <w:rsid w:val="007C3FE6"/>
    <w:rsid w:val="007D5585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D4634"/>
    <w:rsid w:val="009042C7"/>
    <w:rsid w:val="009053D2"/>
    <w:rsid w:val="00916338"/>
    <w:rsid w:val="009204E7"/>
    <w:rsid w:val="009274AD"/>
    <w:rsid w:val="00940A45"/>
    <w:rsid w:val="009412D8"/>
    <w:rsid w:val="009746DC"/>
    <w:rsid w:val="009965FA"/>
    <w:rsid w:val="00996ED6"/>
    <w:rsid w:val="009A27D3"/>
    <w:rsid w:val="009A4D26"/>
    <w:rsid w:val="009A58CF"/>
    <w:rsid w:val="009B4DDF"/>
    <w:rsid w:val="009B64CD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7441D"/>
    <w:rsid w:val="00A746D8"/>
    <w:rsid w:val="00A84BD8"/>
    <w:rsid w:val="00A93774"/>
    <w:rsid w:val="00AA21CE"/>
    <w:rsid w:val="00AA3FB2"/>
    <w:rsid w:val="00AA71BA"/>
    <w:rsid w:val="00AB4ED4"/>
    <w:rsid w:val="00AE05A3"/>
    <w:rsid w:val="00AE2F1C"/>
    <w:rsid w:val="00B020B9"/>
    <w:rsid w:val="00B050E3"/>
    <w:rsid w:val="00B23455"/>
    <w:rsid w:val="00B2689A"/>
    <w:rsid w:val="00B27F42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D21AC"/>
    <w:rsid w:val="00BF66D9"/>
    <w:rsid w:val="00C040CE"/>
    <w:rsid w:val="00C05D5E"/>
    <w:rsid w:val="00C12D97"/>
    <w:rsid w:val="00C17734"/>
    <w:rsid w:val="00C35CB3"/>
    <w:rsid w:val="00C40E4D"/>
    <w:rsid w:val="00C5647D"/>
    <w:rsid w:val="00C8022D"/>
    <w:rsid w:val="00C85E00"/>
    <w:rsid w:val="00C93ADB"/>
    <w:rsid w:val="00CA4F55"/>
    <w:rsid w:val="00CA51DF"/>
    <w:rsid w:val="00CB1E20"/>
    <w:rsid w:val="00CB3B10"/>
    <w:rsid w:val="00CD17CA"/>
    <w:rsid w:val="00CE42D0"/>
    <w:rsid w:val="00D07DC0"/>
    <w:rsid w:val="00D15B20"/>
    <w:rsid w:val="00D33D82"/>
    <w:rsid w:val="00D453BC"/>
    <w:rsid w:val="00D45A58"/>
    <w:rsid w:val="00D5315F"/>
    <w:rsid w:val="00D62338"/>
    <w:rsid w:val="00D7096F"/>
    <w:rsid w:val="00D8760C"/>
    <w:rsid w:val="00DB3999"/>
    <w:rsid w:val="00DB5F0A"/>
    <w:rsid w:val="00DB7852"/>
    <w:rsid w:val="00DF4076"/>
    <w:rsid w:val="00E142CE"/>
    <w:rsid w:val="00E34541"/>
    <w:rsid w:val="00E36E5E"/>
    <w:rsid w:val="00E445AD"/>
    <w:rsid w:val="00E50F70"/>
    <w:rsid w:val="00E66BAF"/>
    <w:rsid w:val="00EA12EF"/>
    <w:rsid w:val="00EA3128"/>
    <w:rsid w:val="00EB1C2E"/>
    <w:rsid w:val="00EB50C6"/>
    <w:rsid w:val="00EC38B9"/>
    <w:rsid w:val="00EE5C0A"/>
    <w:rsid w:val="00EF0457"/>
    <w:rsid w:val="00F40171"/>
    <w:rsid w:val="00F40862"/>
    <w:rsid w:val="00F444E3"/>
    <w:rsid w:val="00F664F2"/>
    <w:rsid w:val="00F734C0"/>
    <w:rsid w:val="00F852C8"/>
    <w:rsid w:val="00F9092E"/>
    <w:rsid w:val="00F926A0"/>
    <w:rsid w:val="00F97DCD"/>
    <w:rsid w:val="00FA0A07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B44452-6F3C-4F4B-A4D6-998DC4D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Rick Dean</cp:lastModifiedBy>
  <cp:revision>2</cp:revision>
  <cp:lastPrinted>2021-01-28T22:36:00Z</cp:lastPrinted>
  <dcterms:created xsi:type="dcterms:W3CDTF">2022-10-14T02:15:00Z</dcterms:created>
  <dcterms:modified xsi:type="dcterms:W3CDTF">2022-10-14T02:15:00Z</dcterms:modified>
</cp:coreProperties>
</file>