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AA"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No._____________</w:t>
      </w:r>
    </w:p>
    <w:p w:rsidR="00134877" w:rsidRPr="00F34F55" w:rsidRDefault="00134877" w:rsidP="00134877">
      <w:pPr>
        <w:pStyle w:val="NoSpacing"/>
        <w:jc w:val="center"/>
        <w:rPr>
          <w:rFonts w:ascii="Arial" w:hAnsi="Arial" w:cs="Arial"/>
          <w:sz w:val="24"/>
          <w:szCs w:val="24"/>
        </w:rPr>
      </w:pP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OF THE COUNTY OF SISKIYOU</w:t>
      </w:r>
    </w:p>
    <w:p w:rsidR="00134877" w:rsidRPr="00F34F55" w:rsidRDefault="00B277A0" w:rsidP="00134877">
      <w:pPr>
        <w:pStyle w:val="NoSpacing"/>
        <w:jc w:val="center"/>
        <w:rPr>
          <w:rFonts w:ascii="Arial" w:hAnsi="Arial" w:cs="Arial"/>
          <w:sz w:val="24"/>
          <w:szCs w:val="24"/>
        </w:rPr>
      </w:pPr>
      <w:r>
        <w:rPr>
          <w:rFonts w:ascii="Arial" w:hAnsi="Arial" w:cs="Arial"/>
          <w:sz w:val="24"/>
          <w:szCs w:val="24"/>
        </w:rPr>
        <w:t>AMENDING GATE F</w:t>
      </w:r>
      <w:r w:rsidR="00134877" w:rsidRPr="00F34F55">
        <w:rPr>
          <w:rFonts w:ascii="Arial" w:hAnsi="Arial" w:cs="Arial"/>
          <w:sz w:val="24"/>
          <w:szCs w:val="24"/>
        </w:rPr>
        <w:t>EES AT VARIOUS</w:t>
      </w: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SISKIYOU COUNTY SOLID WASTE FACILITIES</w:t>
      </w:r>
    </w:p>
    <w:p w:rsidR="00134877" w:rsidRPr="00F34F55" w:rsidRDefault="00134877" w:rsidP="00134877">
      <w:pPr>
        <w:pStyle w:val="NoSpacing"/>
        <w:jc w:val="center"/>
        <w:rPr>
          <w:rFonts w:ascii="Arial" w:hAnsi="Arial" w:cs="Arial"/>
          <w:sz w:val="24"/>
          <w:szCs w:val="24"/>
        </w:rPr>
      </w:pPr>
    </w:p>
    <w:p w:rsidR="00134877" w:rsidRPr="00F34F55" w:rsidRDefault="00C85C0F" w:rsidP="00134877">
      <w:pPr>
        <w:pStyle w:val="NoSpacing"/>
        <w:rPr>
          <w:rFonts w:ascii="Arial" w:hAnsi="Arial" w:cs="Arial"/>
          <w:sz w:val="24"/>
          <w:szCs w:val="24"/>
        </w:rPr>
      </w:pPr>
      <w:r w:rsidRPr="00F34F55">
        <w:rPr>
          <w:rFonts w:ascii="Arial" w:hAnsi="Arial" w:cs="Arial"/>
          <w:sz w:val="24"/>
          <w:szCs w:val="24"/>
        </w:rPr>
        <w:t>THE BOARD OF SUPERVISORS OF THE COUNTY OF SISKIYOU ORDAINS AS FOLLOWS:</w:t>
      </w:r>
    </w:p>
    <w:p w:rsidR="00134877" w:rsidRPr="00F34F55" w:rsidRDefault="00134877" w:rsidP="00134877">
      <w:pPr>
        <w:pStyle w:val="NoSpacing"/>
        <w:rPr>
          <w:rFonts w:ascii="Arial" w:hAnsi="Arial" w:cs="Arial"/>
          <w:sz w:val="24"/>
          <w:szCs w:val="24"/>
        </w:rPr>
      </w:pPr>
    </w:p>
    <w:p w:rsidR="00134877" w:rsidRDefault="00134877" w:rsidP="00134877">
      <w:pPr>
        <w:pStyle w:val="NoSpacing"/>
        <w:rPr>
          <w:rFonts w:ascii="Arial" w:hAnsi="Arial" w:cs="Arial"/>
          <w:sz w:val="24"/>
          <w:szCs w:val="24"/>
        </w:rPr>
      </w:pPr>
      <w:r w:rsidRPr="00F34F55">
        <w:rPr>
          <w:rFonts w:ascii="Arial" w:hAnsi="Arial" w:cs="Arial"/>
          <w:sz w:val="24"/>
          <w:szCs w:val="24"/>
        </w:rPr>
        <w:t>SECTION I: Section 5-6.102 is hereby amended to Title 5, Chapter 6.1</w:t>
      </w:r>
      <w:r w:rsidR="00B90B0F">
        <w:rPr>
          <w:rFonts w:ascii="Arial" w:hAnsi="Arial" w:cs="Arial"/>
          <w:sz w:val="24"/>
          <w:szCs w:val="24"/>
        </w:rPr>
        <w:t xml:space="preserve"> and Section 5-1.30</w:t>
      </w:r>
      <w:r w:rsidR="005A0023">
        <w:rPr>
          <w:rFonts w:ascii="Arial" w:hAnsi="Arial" w:cs="Arial"/>
          <w:sz w:val="24"/>
          <w:szCs w:val="24"/>
        </w:rPr>
        <w:t xml:space="preserve"> is hereby amended to Title 5, Chapter 1.30</w:t>
      </w:r>
      <w:r w:rsidRPr="00F34F55">
        <w:rPr>
          <w:rFonts w:ascii="Arial" w:hAnsi="Arial" w:cs="Arial"/>
          <w:sz w:val="24"/>
          <w:szCs w:val="24"/>
        </w:rPr>
        <w:t xml:space="preserve"> of the Siskiyou County Code to read as follow:</w:t>
      </w:r>
    </w:p>
    <w:p w:rsidR="004C7E32" w:rsidRDefault="008501D4" w:rsidP="00134877">
      <w:pPr>
        <w:pStyle w:val="NoSpacing"/>
        <w:rPr>
          <w:rFonts w:ascii="Arial" w:hAnsi="Arial" w:cs="Arial"/>
          <w:sz w:val="24"/>
          <w:szCs w:val="24"/>
        </w:rPr>
      </w:pPr>
      <w:r>
        <w:rPr>
          <w:noProof/>
        </w:rPr>
        <w:drawing>
          <wp:inline distT="0" distB="0" distL="0" distR="0" wp14:anchorId="61EF2ED8" wp14:editId="1B4960E6">
            <wp:extent cx="5943600" cy="57861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786120"/>
                    </a:xfrm>
                    <a:prstGeom prst="rect">
                      <a:avLst/>
                    </a:prstGeom>
                  </pic:spPr>
                </pic:pic>
              </a:graphicData>
            </a:graphic>
          </wp:inline>
        </w:drawing>
      </w:r>
    </w:p>
    <w:p w:rsidR="00C1373E" w:rsidRDefault="00C1373E" w:rsidP="00134877">
      <w:pPr>
        <w:pStyle w:val="NoSpacing"/>
        <w:rPr>
          <w:rFonts w:ascii="Arial" w:hAnsi="Arial" w:cs="Arial"/>
          <w:sz w:val="24"/>
          <w:szCs w:val="24"/>
        </w:rPr>
      </w:pPr>
      <w:bookmarkStart w:id="0" w:name="_GoBack"/>
      <w:bookmarkEnd w:id="0"/>
      <w:r>
        <w:rPr>
          <w:rFonts w:ascii="Arial" w:hAnsi="Arial" w:cs="Arial"/>
          <w:sz w:val="24"/>
          <w:szCs w:val="24"/>
        </w:rPr>
        <w:tab/>
      </w:r>
    </w:p>
    <w:p w:rsidR="00C1373E" w:rsidRDefault="00C1373E" w:rsidP="00134877">
      <w:pPr>
        <w:pStyle w:val="NoSpacing"/>
        <w:rPr>
          <w:rFonts w:ascii="Arial" w:hAnsi="Arial" w:cs="Arial"/>
          <w:sz w:val="24"/>
          <w:szCs w:val="24"/>
        </w:rPr>
      </w:pPr>
    </w:p>
    <w:p w:rsidR="00C1373E" w:rsidRPr="00F34F55" w:rsidRDefault="00B90B0F" w:rsidP="00134877">
      <w:pPr>
        <w:pStyle w:val="NoSpacing"/>
        <w:rPr>
          <w:rFonts w:ascii="Arial" w:hAnsi="Arial" w:cs="Arial"/>
          <w:sz w:val="24"/>
          <w:szCs w:val="24"/>
        </w:rPr>
      </w:pPr>
      <w:r>
        <w:rPr>
          <w:noProof/>
        </w:rPr>
        <w:drawing>
          <wp:inline distT="0" distB="0" distL="0" distR="0" wp14:anchorId="527764D9" wp14:editId="623D1C5C">
            <wp:extent cx="5943600" cy="7722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722235"/>
                    </a:xfrm>
                    <a:prstGeom prst="rect">
                      <a:avLst/>
                    </a:prstGeom>
                  </pic:spPr>
                </pic:pic>
              </a:graphicData>
            </a:graphic>
          </wp:inline>
        </w:drawing>
      </w:r>
    </w:p>
    <w:p w:rsidR="00C1373E" w:rsidRDefault="00C1373E" w:rsidP="00C1373E">
      <w:pPr>
        <w:pStyle w:val="NoSpacing"/>
        <w:rPr>
          <w:rFonts w:ascii="Arial" w:hAnsi="Arial" w:cs="Arial"/>
          <w:sz w:val="24"/>
          <w:szCs w:val="24"/>
        </w:rPr>
      </w:pPr>
    </w:p>
    <w:p w:rsidR="00B90B0F" w:rsidRDefault="00B90B0F" w:rsidP="00C1373E">
      <w:pPr>
        <w:pStyle w:val="NoSpacing"/>
        <w:rPr>
          <w:noProof/>
        </w:rPr>
      </w:pPr>
    </w:p>
    <w:p w:rsidR="00B90B0F" w:rsidRDefault="00B90B0F" w:rsidP="00C1373E">
      <w:pPr>
        <w:pStyle w:val="NoSpacing"/>
        <w:rPr>
          <w:noProof/>
        </w:rPr>
      </w:pPr>
      <w:r>
        <w:rPr>
          <w:noProof/>
        </w:rPr>
        <w:drawing>
          <wp:inline distT="0" distB="0" distL="0" distR="0" wp14:anchorId="293D4E32" wp14:editId="15812781">
            <wp:extent cx="5943600" cy="3169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69285"/>
                    </a:xfrm>
                    <a:prstGeom prst="rect">
                      <a:avLst/>
                    </a:prstGeom>
                  </pic:spPr>
                </pic:pic>
              </a:graphicData>
            </a:graphic>
          </wp:inline>
        </w:drawing>
      </w:r>
    </w:p>
    <w:p w:rsidR="00B90B0F" w:rsidRDefault="00B90B0F" w:rsidP="00C1373E">
      <w:pPr>
        <w:pStyle w:val="NoSpacing"/>
        <w:rPr>
          <w:rFonts w:ascii="Arial" w:hAnsi="Arial" w:cs="Arial"/>
          <w:sz w:val="24"/>
          <w:szCs w:val="24"/>
        </w:rPr>
      </w:pPr>
      <w:r>
        <w:rPr>
          <w:noProof/>
        </w:rPr>
        <w:drawing>
          <wp:inline distT="0" distB="0" distL="0" distR="0" wp14:anchorId="55E1163E" wp14:editId="3549253E">
            <wp:extent cx="5734050" cy="338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050" cy="3381375"/>
                    </a:xfrm>
                    <a:prstGeom prst="rect">
                      <a:avLst/>
                    </a:prstGeom>
                  </pic:spPr>
                </pic:pic>
              </a:graphicData>
            </a:graphic>
          </wp:inline>
        </w:drawing>
      </w:r>
    </w:p>
    <w:p w:rsidR="00033FF6" w:rsidRPr="00F34F55" w:rsidRDefault="00033FF6" w:rsidP="00C1373E">
      <w:pPr>
        <w:pStyle w:val="NoSpacing"/>
        <w:rPr>
          <w:rFonts w:ascii="Arial" w:hAnsi="Arial" w:cs="Arial"/>
          <w:sz w:val="24"/>
          <w:szCs w:val="24"/>
        </w:rPr>
      </w:pP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Garbage Rates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Bags/Cans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Minimum fee</w:t>
            </w:r>
            <w:r w:rsidRPr="00094142">
              <w:rPr>
                <w:rFonts w:ascii="Calibri" w:eastAsia="Calibri" w:hAnsi="Calibri"/>
                <w:sz w:val="20"/>
                <w:szCs w:val="24"/>
                <w:vertAlign w:val="superscript"/>
              </w:rPr>
              <w:t xml:space="preserv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1—33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$ 5.00each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45 gallon bag/55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$ 6.00each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Lose waste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lastRenderedPageBreak/>
              <w:t xml:space="preserve">Compacted waste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or $ 38.60/cu yard if scales not working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Commercial Compacted waste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or $ 38.60/cu yard if scales not working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rsidRPr="00094142">
              <w:rPr>
                <w:rFonts w:ascii="Calibri" w:eastAsia="Calibri" w:hAnsi="Calibri"/>
                <w:sz w:val="20"/>
                <w:szCs w:val="24"/>
              </w:rPr>
              <w:t>Tulelake</w:t>
            </w:r>
            <w:proofErr w:type="spellEnd"/>
            <w:r w:rsidRPr="00094142">
              <w:rPr>
                <w:rFonts w:ascii="Calibri" w:eastAsia="Calibri" w:hAnsi="Calibri"/>
                <w:sz w:val="20"/>
                <w:szCs w:val="24"/>
              </w:rPr>
              <w:t xml:space="preserve"> Transfer Stations.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Construction and Demolition Debris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Roofing materials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scrap material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Glass - broken/plate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Gypsum - crushed /solid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Metal containers, wire, piping, etc.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Pallets - wood or plastic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Particle board - loose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Plywood sheets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Roofing/shake shingle, bundle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Sawdust/shavings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Sheetrock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Treated wood (restricted waste)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chips/shavings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scrap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NOTE - Construction debris shall be in lengths not exceeding 4'.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dry (3 years or older) (no leaching out)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Brick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Cement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soil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Concrete blocks/loose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Granite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Gravel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Mortar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Sand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Green and Wood Waste (clean)</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Bark, hay, manure, grass clippings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$ 75.00/ton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Yard, brush, wood waste/clean clippings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Stumps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Tree Trunks (diameter greater than 18")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Animals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Domestic animals (cats, dogs, etc.; no large animals/livestock)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$ 8.60/cu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Appliances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doors and hinges must be removed prior to disposal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$25.00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(without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 certificate of evaluation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Other appliances (white)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Non-white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Small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Furniture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Mattress, box springs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Maximum 2/day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Couches, beds, large furniture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Commercial $20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$10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Electronic and Universal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Personal Computer (CPU)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Computers monitor (CRT and LCD)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Laptop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 printer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Peripherals (keyboard/mice/etc.)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Televisions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Toner cartridge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Fax/typewriter/copier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Cell phones, calculators, etc.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Thermostats, auto switches, thermometers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only)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Lamps (Residential only)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Household batteries (residential only)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1.00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Vehicles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All fluids must be removed; no engines or transmissions in vehicles; DMV salvage title required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Car body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Light truck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Household Hazardous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Auto batteries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5.00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Compressed gas cylinders </w:t>
            </w:r>
            <w:r w:rsidRPr="00094142">
              <w:rPr>
                <w:rFonts w:ascii="Calibri" w:eastAsia="Calibri" w:hAnsi="Calibri"/>
                <w:sz w:val="20"/>
                <w:szCs w:val="24"/>
              </w:rPr>
              <w:br/>
              <w:t xml:space="preserve">* valves must be removed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filters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Paint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Weight</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County reserves the right to weigh all waste and charges by the compacted per ton fee. Compacted waste fees will be charged when attendant estimates the density of waste is greater than 300 </w:t>
            </w:r>
            <w:proofErr w:type="spellStart"/>
            <w:r w:rsidRPr="00094142">
              <w:rPr>
                <w:rFonts w:ascii="Calibri" w:eastAsia="Calibri" w:hAnsi="Calibri"/>
                <w:sz w:val="20"/>
                <w:szCs w:val="24"/>
              </w:rPr>
              <w:t>lbs</w:t>
            </w:r>
            <w:proofErr w:type="spellEnd"/>
            <w:r w:rsidRPr="00094142">
              <w:rPr>
                <w:rFonts w:ascii="Calibri" w:eastAsia="Calibri" w:hAnsi="Calibri"/>
                <w:sz w:val="20"/>
                <w:szCs w:val="24"/>
              </w:rPr>
              <w:t xml:space="preserve"> per cubic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Volume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Recycling</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Recyclable items that are not prepared and separated appropriately are considered trash and will be charged accordingly.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Price Increase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The tonnage rates will increase $2.00 per ton every y</w:t>
            </w:r>
            <w:r w:rsidR="00A5106C">
              <w:rPr>
                <w:rFonts w:ascii="Calibri" w:eastAsia="Calibri" w:hAnsi="Calibri"/>
                <w:sz w:val="20"/>
                <w:szCs w:val="24"/>
              </w:rPr>
              <w:t>ear after the effective date of</w:t>
            </w:r>
            <w:r w:rsidRPr="00094142">
              <w:rPr>
                <w:rFonts w:ascii="Calibri" w:eastAsia="Calibri" w:hAnsi="Calibri"/>
                <w:sz w:val="20"/>
                <w:szCs w:val="24"/>
              </w:rPr>
              <w:t xml:space="preserve"> the last ordinance modifying rates. Loose and compacted waste charged by the cubic yard shall be increased in proportion to the weighed waste. </w:t>
            </w:r>
          </w:p>
        </w:tc>
      </w:tr>
    </w:tbl>
    <w:p w:rsidR="008B7CB7" w:rsidRPr="00F34F55" w:rsidRDefault="00134877" w:rsidP="00C1373E">
      <w:pPr>
        <w:pStyle w:val="NoSpacing"/>
        <w:rPr>
          <w:rFonts w:ascii="Arial" w:hAnsi="Arial" w:cs="Arial"/>
          <w:sz w:val="24"/>
          <w:szCs w:val="24"/>
        </w:rPr>
      </w:pPr>
      <w:r w:rsidRPr="00F34F55">
        <w:rPr>
          <w:rFonts w:ascii="Arial" w:hAnsi="Arial" w:cs="Arial"/>
          <w:sz w:val="24"/>
          <w:szCs w:val="24"/>
        </w:rPr>
        <w:tab/>
      </w:r>
    </w:p>
    <w:p w:rsidR="00C85C0F" w:rsidRPr="00F34F55" w:rsidRDefault="00B90B0F" w:rsidP="00C85C0F">
      <w:pPr>
        <w:pStyle w:val="NoSpacing"/>
        <w:rPr>
          <w:rFonts w:ascii="Arial" w:hAnsi="Arial" w:cs="Arial"/>
          <w:sz w:val="24"/>
          <w:szCs w:val="24"/>
        </w:rPr>
      </w:pPr>
      <w:r>
        <w:rPr>
          <w:noProof/>
        </w:rPr>
        <w:drawing>
          <wp:inline distT="0" distB="0" distL="0" distR="0" wp14:anchorId="7CD5D430" wp14:editId="5EAD23D8">
            <wp:extent cx="5838825" cy="3409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8825" cy="3409950"/>
                    </a:xfrm>
                    <a:prstGeom prst="rect">
                      <a:avLst/>
                    </a:prstGeom>
                  </pic:spPr>
                </pic:pic>
              </a:graphicData>
            </a:graphic>
          </wp:inline>
        </w:drawing>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 xml:space="preserve">SECTION II: </w:t>
      </w:r>
      <w:r w:rsidRPr="00F34F55">
        <w:rPr>
          <w:rFonts w:ascii="Arial" w:hAnsi="Arial" w:cs="Arial"/>
          <w:sz w:val="24"/>
          <w:szCs w:val="24"/>
        </w:rPr>
        <w:tab/>
        <w:t>Constitutionality: If any section, subsection, sentence, clause of phrase of this ordinance is for any reason held to be unconstitutional, such decision shall not affect the validity of the remaining portion of this ordinance. The Board of Supervisors hereby declares that is would have padded this ordnance and each section, subsection, clause or phrase thereof, irrespective of the fact that any one of more section, subsections, clauses or phrases be declared unconstitutional.</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SECTION III:</w:t>
      </w:r>
      <w:r w:rsidRPr="00F34F55">
        <w:rPr>
          <w:rFonts w:ascii="Arial" w:hAnsi="Arial" w:cs="Arial"/>
          <w:sz w:val="24"/>
          <w:szCs w:val="24"/>
        </w:rPr>
        <w:tab/>
        <w:t>This ordinance shall become effective 30 days after its passage and shall, within 15 day of adoption be published in the County of Siskiyou.</w:t>
      </w:r>
    </w:p>
    <w:p w:rsidR="00C85C0F" w:rsidRPr="00F34F55" w:rsidRDefault="00C85C0F" w:rsidP="00C85C0F">
      <w:pPr>
        <w:pStyle w:val="NoSpacing"/>
        <w:rPr>
          <w:rFonts w:ascii="Arial" w:hAnsi="Arial" w:cs="Arial"/>
          <w:sz w:val="24"/>
          <w:szCs w:val="24"/>
        </w:rPr>
      </w:pPr>
    </w:p>
    <w:p w:rsidR="00094142" w:rsidRDefault="00C85C0F" w:rsidP="00C85C0F">
      <w:pPr>
        <w:pStyle w:val="NoSpacing"/>
        <w:rPr>
          <w:rFonts w:ascii="Arial" w:hAnsi="Arial" w:cs="Arial"/>
          <w:sz w:val="24"/>
          <w:szCs w:val="24"/>
        </w:rPr>
      </w:pPr>
      <w:r w:rsidRPr="00F34F55">
        <w:rPr>
          <w:rFonts w:ascii="Arial" w:hAnsi="Arial" w:cs="Arial"/>
          <w:sz w:val="24"/>
          <w:szCs w:val="24"/>
        </w:rPr>
        <w:tab/>
      </w: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595B55" w:rsidP="00595B55">
      <w:pPr>
        <w:pStyle w:val="NoSpacing"/>
        <w:jc w:val="center"/>
        <w:rPr>
          <w:rFonts w:ascii="Arial" w:hAnsi="Arial" w:cs="Arial"/>
          <w:sz w:val="24"/>
          <w:szCs w:val="24"/>
        </w:rPr>
      </w:pPr>
      <w:r>
        <w:rPr>
          <w:rFonts w:ascii="Arial" w:hAnsi="Arial" w:cs="Arial"/>
          <w:sz w:val="24"/>
          <w:szCs w:val="24"/>
        </w:rPr>
        <w:t>Signatures Continued on Next Page</w:t>
      </w: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PASSED AND ADOPTED this ____ day of ______________, 2022 at a regular meeting of the Board of Supervisors by the following vote:</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AYES: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NOES: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r>
      <w:r w:rsidR="006B0222" w:rsidRPr="00F34F55">
        <w:rPr>
          <w:rFonts w:ascii="Arial" w:hAnsi="Arial" w:cs="Arial"/>
          <w:sz w:val="24"/>
          <w:szCs w:val="24"/>
        </w:rPr>
        <w:t>ABSENT:</w:t>
      </w:r>
    </w:p>
    <w:p w:rsidR="006B0222" w:rsidRPr="00F34F55" w:rsidRDefault="006B0222" w:rsidP="00C85C0F">
      <w:pPr>
        <w:pStyle w:val="NoSpacing"/>
        <w:rPr>
          <w:rFonts w:ascii="Arial" w:hAnsi="Arial" w:cs="Arial"/>
          <w:sz w:val="24"/>
          <w:szCs w:val="24"/>
        </w:rPr>
      </w:pPr>
      <w:r w:rsidRPr="00F34F55">
        <w:rPr>
          <w:rFonts w:ascii="Arial" w:hAnsi="Arial" w:cs="Arial"/>
          <w:sz w:val="24"/>
          <w:szCs w:val="24"/>
        </w:rPr>
        <w:tab/>
        <w:t>ABSTAIN:</w:t>
      </w:r>
    </w:p>
    <w:p w:rsidR="006B0222" w:rsidRDefault="006B0222" w:rsidP="00C85C0F">
      <w:pPr>
        <w:pStyle w:val="NoSpacing"/>
      </w:pPr>
    </w:p>
    <w:p w:rsidR="00F34F55" w:rsidRDefault="00F34F55" w:rsidP="00C1373E">
      <w:pPr>
        <w:spacing w:line="229" w:lineRule="auto"/>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r w:rsidRPr="00FC7B14">
        <w:rPr>
          <w:rFonts w:ascii="Arial" w:hAnsi="Arial" w:cs="Arial"/>
          <w:szCs w:val="24"/>
        </w:rPr>
        <w:t>COUNTY OF SISKIYOU</w:t>
      </w:r>
    </w:p>
    <w:p w:rsidR="00F34F55" w:rsidRDefault="00F34F55" w:rsidP="00F34F55">
      <w:pPr>
        <w:spacing w:line="229" w:lineRule="auto"/>
        <w:rPr>
          <w:rFonts w:ascii="Arial" w:hAnsi="Arial" w:cs="Arial"/>
          <w:szCs w:val="24"/>
        </w:rPr>
      </w:pPr>
    </w:p>
    <w:p w:rsidR="00F34F55" w:rsidRDefault="00F34F55" w:rsidP="00F34F55">
      <w:pPr>
        <w:spacing w:line="229" w:lineRule="auto"/>
        <w:rPr>
          <w:rFonts w:ascii="Arial" w:hAnsi="Arial" w:cs="Arial"/>
          <w:szCs w:val="24"/>
        </w:rPr>
      </w:pPr>
    </w:p>
    <w:p w:rsidR="00F34F55" w:rsidRPr="00BE2899" w:rsidRDefault="00B277A0" w:rsidP="00F34F5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 xml:space="preserve"> _</w:t>
      </w:r>
      <w:r w:rsidR="00F34F55">
        <w:rPr>
          <w:rFonts w:ascii="Arial" w:hAnsi="Arial" w:cs="Arial"/>
          <w:szCs w:val="24"/>
          <w:u w:val="single"/>
        </w:rPr>
        <w:t>_________________</w:t>
      </w:r>
      <w:r w:rsidR="00F34F55">
        <w:rPr>
          <w:rFonts w:ascii="Arial" w:hAnsi="Arial" w:cs="Arial"/>
          <w:szCs w:val="24"/>
        </w:rPr>
        <w:tab/>
      </w:r>
      <w:r w:rsidR="00F34F55">
        <w:rPr>
          <w:rFonts w:ascii="Arial" w:hAnsi="Arial" w:cs="Arial"/>
          <w:szCs w:val="24"/>
        </w:rPr>
        <w:tab/>
      </w:r>
      <w:r w:rsidR="00F34F55">
        <w:rPr>
          <w:rFonts w:ascii="Arial" w:hAnsi="Arial" w:cs="Arial"/>
          <w:szCs w:val="24"/>
        </w:rPr>
        <w:tab/>
      </w:r>
      <w:r w:rsidR="00F34F55">
        <w:rPr>
          <w:rFonts w:ascii="Arial" w:hAnsi="Arial" w:cs="Arial"/>
          <w:szCs w:val="24"/>
          <w:u w:val="single"/>
        </w:rPr>
        <w:t>____________________________</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BRANDON A. CRISS, CHAIR</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rsidR="00F34F55" w:rsidRPr="00FC7B14" w:rsidRDefault="00F34F55" w:rsidP="00F34F55">
      <w:pPr>
        <w:spacing w:line="229" w:lineRule="auto"/>
        <w:rPr>
          <w:rFonts w:ascii="Arial" w:hAnsi="Arial" w:cs="Arial"/>
          <w:szCs w:val="24"/>
        </w:rPr>
      </w:pPr>
    </w:p>
    <w:p w:rsidR="00F34F55" w:rsidRPr="00FC7B14" w:rsidRDefault="00F34F55" w:rsidP="00F34F55">
      <w:pPr>
        <w:spacing w:line="229" w:lineRule="auto"/>
        <w:rPr>
          <w:rFonts w:ascii="Arial" w:hAnsi="Arial" w:cs="Arial"/>
          <w:szCs w:val="24"/>
        </w:rPr>
      </w:pPr>
      <w:r w:rsidRPr="00FC7B14">
        <w:rPr>
          <w:rFonts w:ascii="Arial" w:hAnsi="Arial" w:cs="Arial"/>
          <w:szCs w:val="24"/>
        </w:rPr>
        <w:t>ATTEST:</w:t>
      </w:r>
    </w:p>
    <w:p w:rsidR="00F34F55" w:rsidRPr="00FC7B14" w:rsidRDefault="00F34F55" w:rsidP="00F34F55">
      <w:pPr>
        <w:spacing w:line="229" w:lineRule="auto"/>
        <w:rPr>
          <w:rFonts w:ascii="Arial" w:hAnsi="Arial" w:cs="Arial"/>
          <w:szCs w:val="24"/>
        </w:rPr>
      </w:pPr>
      <w:r>
        <w:rPr>
          <w:rFonts w:ascii="Arial" w:hAnsi="Arial" w:cs="Arial"/>
          <w:szCs w:val="24"/>
        </w:rPr>
        <w:t>LAURA BYNUM</w:t>
      </w:r>
    </w:p>
    <w:p w:rsidR="00F34F55" w:rsidRPr="00FC7B14" w:rsidRDefault="00F34F55" w:rsidP="00F34F55">
      <w:pPr>
        <w:spacing w:line="229" w:lineRule="auto"/>
        <w:rPr>
          <w:rFonts w:ascii="Arial" w:hAnsi="Arial" w:cs="Arial"/>
          <w:szCs w:val="24"/>
        </w:rPr>
      </w:pPr>
      <w:r w:rsidRPr="00FC7B14">
        <w:rPr>
          <w:rFonts w:ascii="Arial" w:hAnsi="Arial" w:cs="Arial"/>
          <w:szCs w:val="24"/>
        </w:rPr>
        <w:t>Clerk, Board of Supervisors</w:t>
      </w:r>
    </w:p>
    <w:p w:rsidR="00F34F55" w:rsidRPr="00FC7B14" w:rsidRDefault="00F34F55" w:rsidP="00F34F55">
      <w:pPr>
        <w:spacing w:line="229" w:lineRule="auto"/>
        <w:rPr>
          <w:rFonts w:ascii="Arial" w:hAnsi="Arial" w:cs="Arial"/>
          <w:szCs w:val="24"/>
        </w:rPr>
      </w:pPr>
    </w:p>
    <w:p w:rsidR="00F34F55" w:rsidRPr="00BE2899" w:rsidRDefault="00F34F55" w:rsidP="00F34F5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rsidR="00F34F55" w:rsidRPr="00FC7B14" w:rsidRDefault="00F34F55" w:rsidP="00F34F55">
      <w:pPr>
        <w:spacing w:line="229" w:lineRule="auto"/>
        <w:rPr>
          <w:rFonts w:ascii="Arial" w:hAnsi="Arial" w:cs="Arial"/>
          <w:szCs w:val="24"/>
        </w:rPr>
      </w:pPr>
      <w:r w:rsidRPr="00FC7B14">
        <w:rPr>
          <w:rFonts w:ascii="Arial" w:hAnsi="Arial" w:cs="Arial"/>
          <w:szCs w:val="24"/>
        </w:rPr>
        <w:tab/>
        <w:t>Deputy</w:t>
      </w:r>
    </w:p>
    <w:p w:rsidR="00C85C0F" w:rsidRDefault="00C85C0F" w:rsidP="00C85C0F">
      <w:pPr>
        <w:pStyle w:val="NoSpacing"/>
      </w:pPr>
    </w:p>
    <w:sectPr w:rsidR="00C8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0DB"/>
    <w:multiLevelType w:val="hybridMultilevel"/>
    <w:tmpl w:val="1B1A24F0"/>
    <w:lvl w:ilvl="0" w:tplc="4CF01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77"/>
    <w:rsid w:val="00016B38"/>
    <w:rsid w:val="00033FF6"/>
    <w:rsid w:val="00094142"/>
    <w:rsid w:val="00134877"/>
    <w:rsid w:val="002F2A43"/>
    <w:rsid w:val="004C7E32"/>
    <w:rsid w:val="00580CAA"/>
    <w:rsid w:val="00595B55"/>
    <w:rsid w:val="005A0023"/>
    <w:rsid w:val="005C29C0"/>
    <w:rsid w:val="006B0222"/>
    <w:rsid w:val="008266FE"/>
    <w:rsid w:val="008501D4"/>
    <w:rsid w:val="008A595E"/>
    <w:rsid w:val="008B7CB7"/>
    <w:rsid w:val="00A306AC"/>
    <w:rsid w:val="00A5106C"/>
    <w:rsid w:val="00B277A0"/>
    <w:rsid w:val="00B90B0F"/>
    <w:rsid w:val="00C1373E"/>
    <w:rsid w:val="00C85C0F"/>
    <w:rsid w:val="00F3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BB3"/>
  <w15:chartTrackingRefBased/>
  <w15:docId w15:val="{5F555DD0-79C2-4E9D-9324-EE5EC6E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877"/>
    <w:pPr>
      <w:spacing w:after="0" w:line="240" w:lineRule="auto"/>
    </w:pPr>
  </w:style>
  <w:style w:type="table" w:customStyle="1" w:styleId="Table1">
    <w:name w:val="Table 1"/>
    <w:basedOn w:val="TableNormal"/>
    <w:uiPriority w:val="99"/>
    <w:rsid w:val="00C1373E"/>
    <w:pPr>
      <w:spacing w:after="0" w:line="240" w:lineRule="auto"/>
    </w:pPr>
    <w:rPr>
      <w:sz w:val="20"/>
      <w:szCs w:val="24"/>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Kimball</dc:creator>
  <cp:keywords/>
  <dc:description/>
  <cp:lastModifiedBy>Amanda Kimball</cp:lastModifiedBy>
  <cp:revision>7</cp:revision>
  <dcterms:created xsi:type="dcterms:W3CDTF">2022-09-09T15:12:00Z</dcterms:created>
  <dcterms:modified xsi:type="dcterms:W3CDTF">2022-09-09T21:38:00Z</dcterms:modified>
</cp:coreProperties>
</file>