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F3040B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F3040B" w:rsidRPr="00F3040B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F3040B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516E8">
              <w:rPr>
                <w:rFonts w:cs="Arial"/>
                <w:b/>
                <w:sz w:val="20"/>
                <w:szCs w:val="20"/>
              </w:rPr>
            </w:r>
            <w:r w:rsidR="006516E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F3040B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0AEBB0" w:rsidR="009A58CF" w:rsidRPr="00F3040B" w:rsidRDefault="00BA24A8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D7CABA" w:rsidR="009A58CF" w:rsidRPr="00F3040B" w:rsidRDefault="00CE2075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September 6</w:t>
            </w:r>
            <w:r w:rsidR="004D106A" w:rsidRPr="00F3040B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F3040B" w:rsidRPr="00F3040B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F3040B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F3040B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F3040B" w:rsidRPr="00F3040B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F3040B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516E8">
              <w:rPr>
                <w:rFonts w:cs="Arial"/>
                <w:b/>
                <w:sz w:val="20"/>
                <w:szCs w:val="20"/>
              </w:rPr>
            </w:r>
            <w:r w:rsidR="006516E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3040B" w:rsidRPr="00F3040B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F3040B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F3040B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F3040B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F3040B" w:rsidRPr="00F3040B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1B195D" w:rsidR="00593663" w:rsidRPr="00F3040B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367347" w:rsidRPr="00F3040B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F3040B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F3040B" w:rsidRPr="00F3040B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Melissa Cummins, Deputy CAO – Personnel and Risk Management Officer</w:t>
            </w:r>
          </w:p>
        </w:tc>
      </w:tr>
      <w:tr w:rsidR="00F3040B" w:rsidRPr="00F3040B" w14:paraId="5293AC22" w14:textId="77777777" w:rsidTr="00DB0806">
        <w:trPr>
          <w:trHeight w:val="39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F3040B" w:rsidRPr="00F3040B" w14:paraId="48F7B08B" w14:textId="77777777" w:rsidTr="00CB77E0">
        <w:trPr>
          <w:cantSplit/>
          <w:trHeight w:hRule="exact" w:val="111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6A308A" w14:textId="1FFD60F9" w:rsidR="00B66E35" w:rsidRPr="006516E8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The County Administrator’s Office recommends approval of the attached resolution</w:t>
            </w:r>
            <w:r w:rsidR="00342F12" w:rsidRPr="006516E8">
              <w:rPr>
                <w:rFonts w:cs="Arial"/>
                <w:noProof/>
                <w:sz w:val="22"/>
                <w:szCs w:val="22"/>
              </w:rPr>
              <w:t>s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 for the Memorandum of Understanding (MOU) between the County of Siskiyou and </w:t>
            </w:r>
            <w:r w:rsidR="001C7BD1" w:rsidRPr="006516E8">
              <w:rPr>
                <w:rFonts w:cs="Arial"/>
                <w:noProof/>
                <w:sz w:val="22"/>
                <w:szCs w:val="22"/>
              </w:rPr>
              <w:t xml:space="preserve">the </w:t>
            </w:r>
            <w:r w:rsidR="00D048A8" w:rsidRPr="006516E8">
              <w:rPr>
                <w:rFonts w:cs="Arial"/>
                <w:noProof/>
                <w:sz w:val="22"/>
                <w:szCs w:val="22"/>
              </w:rPr>
              <w:t>Deputy Sheriffs’ Association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.  This MOU supersedes the prior memorandum of understanding.  </w:t>
            </w:r>
          </w:p>
          <w:p w14:paraId="25D4D522" w14:textId="77777777" w:rsidR="00B66E35" w:rsidRPr="006516E8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The following is a summary of the major changes in the new agreement:</w:t>
            </w:r>
          </w:p>
          <w:p w14:paraId="71013943" w14:textId="77777777" w:rsidR="00B66E35" w:rsidRPr="006516E8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Salary Increases: </w:t>
            </w:r>
          </w:p>
          <w:p w14:paraId="0C915F4A" w14:textId="63601CFA" w:rsidR="000B1594" w:rsidRPr="006516E8" w:rsidRDefault="00D048A8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E</w:t>
            </w:r>
            <w:r w:rsidR="00B66E35" w:rsidRPr="006516E8">
              <w:rPr>
                <w:rFonts w:cs="Arial"/>
                <w:noProof/>
                <w:sz w:val="22"/>
                <w:szCs w:val="22"/>
              </w:rPr>
              <w:t xml:space="preserve">ffective </w:t>
            </w:r>
            <w:r w:rsidR="006B036E" w:rsidRPr="006516E8">
              <w:rPr>
                <w:rFonts w:cs="Arial"/>
                <w:noProof/>
                <w:sz w:val="22"/>
                <w:szCs w:val="22"/>
              </w:rPr>
              <w:t>October 2</w:t>
            </w:r>
            <w:r w:rsidR="000B1594" w:rsidRPr="006516E8">
              <w:rPr>
                <w:rFonts w:cs="Arial"/>
                <w:noProof/>
                <w:sz w:val="22"/>
                <w:szCs w:val="22"/>
              </w:rPr>
              <w:t>, 2022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 – 8.0% </w:t>
            </w:r>
          </w:p>
          <w:p w14:paraId="681729FE" w14:textId="692AC09D" w:rsidR="00CB77E0" w:rsidRPr="006516E8" w:rsidRDefault="00D048A8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E</w:t>
            </w:r>
            <w:r w:rsidR="006B036E" w:rsidRPr="006516E8">
              <w:rPr>
                <w:rFonts w:cs="Arial"/>
                <w:noProof/>
                <w:sz w:val="22"/>
                <w:szCs w:val="22"/>
              </w:rPr>
              <w:t xml:space="preserve">ffective 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October 1, 2023 – 2.0% </w:t>
            </w:r>
          </w:p>
          <w:p w14:paraId="1E9EE30B" w14:textId="50C0F1C3" w:rsidR="00247450" w:rsidRPr="006516E8" w:rsidRDefault="00D048A8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POST Pay – Increase to 5% for Intermediate and 5% for Advanced POST </w:t>
            </w:r>
            <w:r w:rsidR="00C1070E" w:rsidRPr="006516E8">
              <w:rPr>
                <w:rFonts w:cs="Arial"/>
                <w:noProof/>
                <w:sz w:val="22"/>
                <w:szCs w:val="22"/>
              </w:rPr>
              <w:t>certificates</w:t>
            </w:r>
            <w:r w:rsidR="00247450" w:rsidRPr="006516E8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494F10BB" w14:textId="1E299DC0" w:rsidR="00C1070E" w:rsidRPr="006516E8" w:rsidRDefault="00C1070E" w:rsidP="00C1070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Special Assignment Pay: Maximum of 5% per employee.</w:t>
            </w:r>
          </w:p>
          <w:p w14:paraId="238734A2" w14:textId="57BA7835" w:rsidR="00C1070E" w:rsidRPr="006516E8" w:rsidRDefault="00C1070E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Rural Area Premium Pay: 5% of their base rate of pay for employees assigned to Butte Valley or Happy Camp.</w:t>
            </w:r>
          </w:p>
          <w:p w14:paraId="04A817CE" w14:textId="77777777" w:rsidR="00C1070E" w:rsidRPr="006516E8" w:rsidRDefault="00C1070E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Uniform Allowance:  Change to $ 44.00 per pay period.</w:t>
            </w:r>
          </w:p>
          <w:p w14:paraId="0B2AD346" w14:textId="06034126" w:rsidR="00C1070E" w:rsidRPr="006516E8" w:rsidRDefault="00C1070E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Holiday-in-lieu: 7% of </w:t>
            </w:r>
            <w:r w:rsidR="001B29F0" w:rsidRPr="006516E8">
              <w:rPr>
                <w:rFonts w:cs="Arial"/>
                <w:noProof/>
                <w:sz w:val="22"/>
                <w:szCs w:val="22"/>
              </w:rPr>
              <w:t xml:space="preserve">the </w:t>
            </w:r>
            <w:r w:rsidRPr="006516E8">
              <w:rPr>
                <w:rFonts w:cs="Arial"/>
                <w:noProof/>
                <w:sz w:val="22"/>
                <w:szCs w:val="22"/>
              </w:rPr>
              <w:t>base hourly rate of pay in lieu of any other form of holiday compensation.</w:t>
            </w:r>
          </w:p>
          <w:p w14:paraId="7C70BD66" w14:textId="37BDE5EF" w:rsidR="00B66E35" w:rsidRPr="006516E8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Health &amp; Dental Insurance: </w:t>
            </w:r>
          </w:p>
          <w:p w14:paraId="0C1EDB08" w14:textId="148A422F" w:rsidR="00B66E35" w:rsidRPr="006516E8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County will contribute 100% of </w:t>
            </w:r>
            <w:r w:rsidR="00317531" w:rsidRPr="006516E8">
              <w:rPr>
                <w:rFonts w:cs="Arial"/>
                <w:noProof/>
                <w:sz w:val="22"/>
                <w:szCs w:val="22"/>
              </w:rPr>
              <w:t>the Laborers Northern California Health and Welfare Trust Special Plan III monthly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 premiu</w:t>
            </w:r>
            <w:r w:rsidR="00317531" w:rsidRPr="006516E8">
              <w:rPr>
                <w:rFonts w:cs="Arial"/>
                <w:noProof/>
                <w:sz w:val="22"/>
                <w:szCs w:val="22"/>
              </w:rPr>
              <w:t>m</w:t>
            </w:r>
            <w:r w:rsidRPr="006516E8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0329AD15" w14:textId="77777777" w:rsidR="00317531" w:rsidRPr="006516E8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Effective plan year 2023 County will contribute 95% of </w:t>
            </w:r>
            <w:r w:rsidR="00317531" w:rsidRPr="006516E8">
              <w:rPr>
                <w:rFonts w:cs="Arial"/>
                <w:noProof/>
                <w:sz w:val="22"/>
                <w:szCs w:val="22"/>
              </w:rPr>
              <w:t>the Laborers Northern California Health and Welfare Trust Special Plan III monthly premium.</w:t>
            </w:r>
          </w:p>
          <w:p w14:paraId="32F82276" w14:textId="672EA2D5" w:rsidR="00B66E35" w:rsidRPr="006516E8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Effective plan year 2024 County will contribute 90% of Region 1 CalPERS Gold Health premium plus 90% of</w:t>
            </w:r>
            <w:r w:rsidR="00247450" w:rsidRPr="006516E8">
              <w:rPr>
                <w:rFonts w:cs="Arial"/>
                <w:noProof/>
                <w:sz w:val="22"/>
                <w:szCs w:val="22"/>
              </w:rPr>
              <w:t xml:space="preserve"> the mo</w:t>
            </w:r>
            <w:r w:rsidRPr="006516E8">
              <w:rPr>
                <w:rFonts w:cs="Arial"/>
                <w:noProof/>
                <w:sz w:val="22"/>
                <w:szCs w:val="22"/>
              </w:rPr>
              <w:t>nthly dental premium.</w:t>
            </w:r>
          </w:p>
          <w:p w14:paraId="744ED1EB" w14:textId="6A56A5BD" w:rsidR="00B66E35" w:rsidRPr="006516E8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Effective plan year 2025 County will contribute 85% of Region 1 CalPERS Gold Health premium plus </w:t>
            </w:r>
            <w:r w:rsidR="00BA24A8" w:rsidRPr="006516E8">
              <w:rPr>
                <w:rFonts w:cs="Arial"/>
                <w:noProof/>
                <w:sz w:val="22"/>
                <w:szCs w:val="22"/>
              </w:rPr>
              <w:t>85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% of </w:t>
            </w:r>
            <w:r w:rsidR="00247450" w:rsidRPr="006516E8">
              <w:rPr>
                <w:rFonts w:cs="Arial"/>
                <w:noProof/>
                <w:sz w:val="22"/>
                <w:szCs w:val="22"/>
              </w:rPr>
              <w:t xml:space="preserve">the </w:t>
            </w:r>
            <w:r w:rsidRPr="006516E8">
              <w:rPr>
                <w:rFonts w:cs="Arial"/>
                <w:noProof/>
                <w:sz w:val="22"/>
                <w:szCs w:val="22"/>
              </w:rPr>
              <w:t>monthly dental premium.</w:t>
            </w:r>
          </w:p>
          <w:p w14:paraId="159286A2" w14:textId="77777777" w:rsidR="00B66E35" w:rsidRPr="006516E8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Retiree Medical:</w:t>
            </w:r>
          </w:p>
          <w:p w14:paraId="3143A375" w14:textId="123A0CBE" w:rsidR="00B66E35" w:rsidRPr="006516E8" w:rsidRDefault="00B66E35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County will contribute 50% of Region 1 CalPERS Platinum, minus the Minimum Employer Contribution </w:t>
            </w:r>
            <w:r w:rsidR="00A12041" w:rsidRPr="006516E8">
              <w:rPr>
                <w:rFonts w:cs="Arial"/>
                <w:noProof/>
                <w:sz w:val="22"/>
                <w:szCs w:val="22"/>
              </w:rPr>
              <w:t xml:space="preserve">(MEC) 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for employees </w:t>
            </w:r>
            <w:r w:rsidR="0030282F" w:rsidRPr="006516E8">
              <w:rPr>
                <w:rFonts w:cs="Arial"/>
                <w:noProof/>
                <w:sz w:val="22"/>
                <w:szCs w:val="22"/>
              </w:rPr>
              <w:t xml:space="preserve">hired </w:t>
            </w:r>
            <w:r w:rsidR="00247450" w:rsidRPr="006516E8">
              <w:rPr>
                <w:rFonts w:cs="Arial"/>
                <w:noProof/>
                <w:sz w:val="22"/>
                <w:szCs w:val="22"/>
              </w:rPr>
              <w:t>before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30282F" w:rsidRPr="006516E8">
              <w:rPr>
                <w:rFonts w:cs="Arial"/>
                <w:noProof/>
                <w:sz w:val="22"/>
                <w:szCs w:val="22"/>
              </w:rPr>
              <w:t>October 2, 2022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 who retire. </w:t>
            </w:r>
          </w:p>
          <w:p w14:paraId="544EB1E5" w14:textId="202DFF58" w:rsidR="00A12041" w:rsidRPr="006516E8" w:rsidRDefault="00A12041" w:rsidP="00B66E35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Employees hired after </w:t>
            </w:r>
            <w:r w:rsidR="0030282F" w:rsidRPr="006516E8">
              <w:rPr>
                <w:rFonts w:cs="Arial"/>
                <w:noProof/>
                <w:sz w:val="22"/>
                <w:szCs w:val="22"/>
              </w:rPr>
              <w:t>October 2, 2022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 will receive the MEC.</w:t>
            </w:r>
          </w:p>
          <w:p w14:paraId="7652DF31" w14:textId="27EAF005" w:rsidR="00CB77E0" w:rsidRPr="006516E8" w:rsidRDefault="00CB77E0" w:rsidP="00CB77E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Retiree </w:t>
            </w:r>
            <w:r w:rsidR="00592EDB" w:rsidRPr="006516E8">
              <w:rPr>
                <w:rFonts w:cs="Arial"/>
                <w:noProof/>
                <w:sz w:val="22"/>
                <w:szCs w:val="22"/>
              </w:rPr>
              <w:t>Dental</w:t>
            </w:r>
            <w:r w:rsidRPr="006516E8">
              <w:rPr>
                <w:rFonts w:cs="Arial"/>
                <w:noProof/>
                <w:sz w:val="22"/>
                <w:szCs w:val="22"/>
              </w:rPr>
              <w:t>:</w:t>
            </w:r>
          </w:p>
          <w:p w14:paraId="5066D397" w14:textId="4EE380AF" w:rsidR="00CB77E0" w:rsidRPr="006516E8" w:rsidRDefault="00CB77E0" w:rsidP="00CB77E0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Employees hired </w:t>
            </w:r>
            <w:r w:rsidR="00247450" w:rsidRPr="006516E8">
              <w:rPr>
                <w:rFonts w:cs="Arial"/>
                <w:noProof/>
                <w:sz w:val="22"/>
                <w:szCs w:val="22"/>
              </w:rPr>
              <w:t xml:space="preserve">before </w:t>
            </w:r>
            <w:r w:rsidRPr="006516E8">
              <w:rPr>
                <w:rFonts w:cs="Arial"/>
                <w:noProof/>
                <w:sz w:val="22"/>
                <w:szCs w:val="22"/>
              </w:rPr>
              <w:t>January 1, 2022 who retire will receive dental coverage for $ 25.00 per month.</w:t>
            </w:r>
          </w:p>
          <w:p w14:paraId="7DFC3754" w14:textId="0993259E" w:rsidR="00CB77E0" w:rsidRPr="006516E8" w:rsidRDefault="00CB77E0" w:rsidP="00CB77E0">
            <w:pPr>
              <w:pStyle w:val="ListParagraph"/>
              <w:numPr>
                <w:ilvl w:val="1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Employees hired after December 31, 2021 who retire will receive dental cover</w:t>
            </w:r>
            <w:r w:rsidR="005E45B9" w:rsidRPr="006516E8">
              <w:rPr>
                <w:rFonts w:cs="Arial"/>
                <w:noProof/>
                <w:sz w:val="22"/>
                <w:szCs w:val="22"/>
              </w:rPr>
              <w:t>age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 for the employee only at a cost of $ 25.00 per month. </w:t>
            </w:r>
          </w:p>
          <w:p w14:paraId="09BA7526" w14:textId="1F6D10D3" w:rsidR="007F7457" w:rsidRPr="006516E8" w:rsidRDefault="007F7457" w:rsidP="00CB77E0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Life Insurance: Increase to $ 50,000 per employee</w:t>
            </w:r>
            <w:r w:rsidR="005E45B9" w:rsidRPr="006516E8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79B50267" w14:textId="3998F774" w:rsidR="00E60EB6" w:rsidRPr="006516E8" w:rsidRDefault="00E60EB6" w:rsidP="007F745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Changes in s</w:t>
            </w:r>
            <w:r w:rsidR="007F7457" w:rsidRPr="006516E8">
              <w:rPr>
                <w:rFonts w:cs="Arial"/>
                <w:noProof/>
                <w:sz w:val="22"/>
                <w:szCs w:val="22"/>
              </w:rPr>
              <w:t>hort</w:t>
            </w:r>
            <w:r w:rsidR="005E45B9" w:rsidRPr="006516E8">
              <w:rPr>
                <w:rFonts w:cs="Arial"/>
                <w:noProof/>
                <w:sz w:val="22"/>
                <w:szCs w:val="22"/>
              </w:rPr>
              <w:t>-</w:t>
            </w:r>
            <w:r w:rsidRPr="006516E8">
              <w:rPr>
                <w:rFonts w:cs="Arial"/>
                <w:noProof/>
                <w:sz w:val="22"/>
                <w:szCs w:val="22"/>
              </w:rPr>
              <w:t>t</w:t>
            </w:r>
            <w:r w:rsidR="007F7457" w:rsidRPr="006516E8">
              <w:rPr>
                <w:rFonts w:cs="Arial"/>
                <w:noProof/>
                <w:sz w:val="22"/>
                <w:szCs w:val="22"/>
              </w:rPr>
              <w:t xml:space="preserve">erm and </w:t>
            </w:r>
            <w:r w:rsidR="005E45B9" w:rsidRPr="006516E8">
              <w:rPr>
                <w:rFonts w:cs="Arial"/>
                <w:noProof/>
                <w:sz w:val="22"/>
                <w:szCs w:val="22"/>
              </w:rPr>
              <w:t>long-term</w:t>
            </w:r>
            <w:r w:rsidR="007F7457" w:rsidRPr="006516E8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Pr="006516E8">
              <w:rPr>
                <w:rFonts w:cs="Arial"/>
                <w:noProof/>
                <w:sz w:val="22"/>
                <w:szCs w:val="22"/>
              </w:rPr>
              <w:t>d</w:t>
            </w:r>
            <w:r w:rsidR="00B66E35" w:rsidRPr="006516E8">
              <w:rPr>
                <w:rFonts w:cs="Arial"/>
                <w:noProof/>
                <w:sz w:val="22"/>
                <w:szCs w:val="22"/>
              </w:rPr>
              <w:t>isability Insurance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 coverage. </w:t>
            </w:r>
          </w:p>
          <w:p w14:paraId="7EDCC80F" w14:textId="77777777" w:rsidR="00B66E35" w:rsidRPr="006516E8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>Numerous language cleanups to ensure compliance with various regulations.</w:t>
            </w:r>
          </w:p>
          <w:p w14:paraId="063F644E" w14:textId="63ACDB90" w:rsidR="00B66E35" w:rsidRPr="006516E8" w:rsidRDefault="00B66E35" w:rsidP="00B66E3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6516E8">
              <w:rPr>
                <w:rFonts w:cs="Arial"/>
                <w:noProof/>
                <w:sz w:val="22"/>
                <w:szCs w:val="22"/>
              </w:rPr>
              <w:t xml:space="preserve">Term:  </w:t>
            </w:r>
            <w:r w:rsidR="00247450" w:rsidRPr="006516E8">
              <w:rPr>
                <w:rFonts w:cs="Arial"/>
                <w:noProof/>
                <w:sz w:val="22"/>
                <w:szCs w:val="22"/>
              </w:rPr>
              <w:t>October 2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, 2022 through </w:t>
            </w:r>
            <w:r w:rsidR="001B29F0" w:rsidRPr="006516E8">
              <w:rPr>
                <w:rFonts w:cs="Arial"/>
                <w:noProof/>
                <w:sz w:val="22"/>
                <w:szCs w:val="22"/>
              </w:rPr>
              <w:t>September 21, 2024</w:t>
            </w:r>
            <w:r w:rsidRPr="006516E8">
              <w:rPr>
                <w:rFonts w:cs="Arial"/>
                <w:noProof/>
                <w:sz w:val="22"/>
                <w:szCs w:val="22"/>
              </w:rPr>
              <w:t xml:space="preserve">. </w:t>
            </w:r>
          </w:p>
        </w:tc>
      </w:tr>
      <w:tr w:rsidR="00F3040B" w:rsidRPr="00F3040B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lastRenderedPageBreak/>
              <w:t>Financial Impact:</w:t>
            </w:r>
          </w:p>
        </w:tc>
      </w:tr>
      <w:tr w:rsidR="00F3040B" w:rsidRPr="00F3040B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16E8">
              <w:rPr>
                <w:rFonts w:cs="Arial"/>
                <w:sz w:val="18"/>
                <w:szCs w:val="18"/>
              </w:rPr>
            </w:r>
            <w:r w:rsidR="006516E8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F3040B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16E8">
              <w:rPr>
                <w:rFonts w:cs="Arial"/>
                <w:sz w:val="18"/>
                <w:szCs w:val="18"/>
              </w:rPr>
            </w:r>
            <w:r w:rsidR="006516E8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F3040B" w:rsidRPr="00F3040B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F3040B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7FBEF01" w:rsidR="004D106A" w:rsidRPr="00F3040B" w:rsidRDefault="00851B0E" w:rsidP="004D106A">
            <w:pPr>
              <w:spacing w:before="120"/>
              <w:rPr>
                <w:rFonts w:cs="Arial"/>
                <w:sz w:val="16"/>
                <w:szCs w:val="16"/>
              </w:rPr>
            </w:pPr>
            <w:r w:rsidRPr="00F3040B">
              <w:rPr>
                <w:rFonts w:cs="Arial"/>
                <w:sz w:val="16"/>
                <w:szCs w:val="16"/>
              </w:rPr>
              <w:t>See Attached</w:t>
            </w:r>
          </w:p>
        </w:tc>
        <w:tc>
          <w:tcPr>
            <w:tcW w:w="270" w:type="dxa"/>
            <w:vAlign w:val="center"/>
          </w:tcPr>
          <w:p w14:paraId="3F49395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F3040B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F3040B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16E8">
              <w:rPr>
                <w:rFonts w:cs="Arial"/>
                <w:sz w:val="18"/>
                <w:szCs w:val="18"/>
              </w:rPr>
            </w:r>
            <w:r w:rsidR="006516E8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F3040B">
              <w:rPr>
                <w:rFonts w:cs="Arial"/>
                <w:sz w:val="18"/>
                <w:szCs w:val="18"/>
              </w:rPr>
              <w:t xml:space="preserve">         NO 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16E8">
              <w:rPr>
                <w:rFonts w:cs="Arial"/>
                <w:sz w:val="18"/>
                <w:szCs w:val="18"/>
              </w:rPr>
            </w:r>
            <w:r w:rsidR="006516E8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F3040B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For Contracts – </w:t>
            </w:r>
            <w:r w:rsidRPr="00F3040B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F3040B" w:rsidRPr="00F3040B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F3040B" w:rsidRPr="00F3040B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0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18"/>
      <w:tr w:rsidR="00F3040B" w:rsidRPr="00F3040B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3040B" w:rsidRPr="00F3040B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2B4A9A38" w14:textId="77777777" w:rsidTr="00F37678">
        <w:trPr>
          <w:cantSplit/>
          <w:trHeight w:hRule="exact" w:val="156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83F2A3" w14:textId="4D153B41" w:rsidR="004D106A" w:rsidRPr="00F3040B" w:rsidRDefault="00D61870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>Adopt resolution regarding the Memorandum of Understanding by and between the County of Siskiyou and</w:t>
            </w:r>
            <w:r w:rsidR="00F37678" w:rsidRPr="00F3040B">
              <w:rPr>
                <w:rFonts w:cs="Arial"/>
                <w:sz w:val="22"/>
                <w:szCs w:val="22"/>
              </w:rPr>
              <w:t xml:space="preserve"> </w:t>
            </w:r>
            <w:r w:rsidR="00446DBA">
              <w:rPr>
                <w:rFonts w:cs="Arial"/>
                <w:noProof/>
                <w:sz w:val="22"/>
                <w:szCs w:val="22"/>
              </w:rPr>
              <w:t>Deputy Sheriffs’ Association</w:t>
            </w:r>
            <w:r w:rsidR="00764394" w:rsidRPr="00F3040B">
              <w:rPr>
                <w:rFonts w:cs="Arial"/>
                <w:sz w:val="22"/>
                <w:szCs w:val="22"/>
              </w:rPr>
              <w:t xml:space="preserve"> </w:t>
            </w:r>
            <w:r w:rsidRPr="00F3040B">
              <w:rPr>
                <w:rFonts w:cs="Arial"/>
                <w:sz w:val="22"/>
                <w:szCs w:val="22"/>
              </w:rPr>
              <w:t xml:space="preserve">effective </w:t>
            </w:r>
            <w:r w:rsidR="00DB3096">
              <w:rPr>
                <w:rFonts w:cs="Arial"/>
                <w:sz w:val="22"/>
                <w:szCs w:val="22"/>
              </w:rPr>
              <w:t>October 2</w:t>
            </w:r>
            <w:r w:rsidR="00F37678" w:rsidRPr="00F3040B">
              <w:rPr>
                <w:rFonts w:cs="Arial"/>
                <w:sz w:val="22"/>
                <w:szCs w:val="22"/>
              </w:rPr>
              <w:t>, 2022</w:t>
            </w:r>
            <w:r w:rsidRPr="00F3040B">
              <w:rPr>
                <w:rFonts w:cs="Arial"/>
                <w:sz w:val="22"/>
                <w:szCs w:val="22"/>
              </w:rPr>
              <w:t>.</w:t>
            </w:r>
          </w:p>
          <w:p w14:paraId="0B327F4E" w14:textId="4A1E7CBC" w:rsidR="00851B0E" w:rsidRPr="00F3040B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 xml:space="preserve">Adopt resolution amending </w:t>
            </w:r>
            <w:r w:rsidR="00472D9F" w:rsidRPr="00F3040B">
              <w:rPr>
                <w:rFonts w:cs="Arial"/>
                <w:sz w:val="22"/>
                <w:szCs w:val="22"/>
              </w:rPr>
              <w:t xml:space="preserve">the Siskiyou County Salary Schedule as outlined in the attached resolution. </w:t>
            </w:r>
          </w:p>
        </w:tc>
      </w:tr>
      <w:tr w:rsidR="00F3040B" w:rsidRPr="00F3040B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F3040B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F3040B" w:rsidRPr="00F3040B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F3040B" w:rsidRPr="00F3040B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3040B" w:rsidRPr="00F3040B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F3040B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F3040B" w:rsidRPr="00F3040B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F3040B" w:rsidRDefault="00A14EC6" w:rsidP="00E66BAF">
      <w:pPr>
        <w:rPr>
          <w:rFonts w:cs="Arial"/>
          <w:b/>
          <w:i/>
          <w:sz w:val="12"/>
          <w:szCs w:val="12"/>
        </w:rPr>
      </w:pPr>
      <w:r w:rsidRPr="00F3040B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F3040B">
        <w:rPr>
          <w:rFonts w:cs="Arial"/>
          <w:b/>
          <w:i/>
          <w:sz w:val="17"/>
          <w:szCs w:val="17"/>
        </w:rPr>
        <w:t>0</w:t>
      </w:r>
      <w:r w:rsidRPr="00F3040B">
        <w:rPr>
          <w:rFonts w:cs="Arial"/>
          <w:b/>
          <w:i/>
          <w:sz w:val="17"/>
          <w:szCs w:val="17"/>
        </w:rPr>
        <w:t xml:space="preserve">:00 </w:t>
      </w:r>
      <w:r w:rsidR="00F776A3" w:rsidRPr="00F3040B">
        <w:rPr>
          <w:rFonts w:cs="Arial"/>
          <w:b/>
          <w:i/>
          <w:sz w:val="17"/>
          <w:szCs w:val="17"/>
        </w:rPr>
        <w:t>a</w:t>
      </w:r>
      <w:r w:rsidRPr="00F3040B">
        <w:rPr>
          <w:rFonts w:cs="Arial"/>
          <w:b/>
          <w:i/>
          <w:sz w:val="17"/>
          <w:szCs w:val="17"/>
        </w:rPr>
        <w:t xml:space="preserve">.m. on the </w:t>
      </w:r>
      <w:r w:rsidR="00F776A3" w:rsidRPr="00F3040B">
        <w:rPr>
          <w:rFonts w:cs="Arial"/>
          <w:b/>
          <w:i/>
          <w:sz w:val="17"/>
          <w:szCs w:val="17"/>
        </w:rPr>
        <w:t>Monday the week</w:t>
      </w:r>
      <w:r w:rsidRPr="00F3040B">
        <w:rPr>
          <w:rFonts w:cs="Arial"/>
          <w:b/>
          <w:i/>
          <w:sz w:val="17"/>
          <w:szCs w:val="17"/>
        </w:rPr>
        <w:t xml:space="preserve"> </w:t>
      </w:r>
      <w:r w:rsidR="00B4714F" w:rsidRPr="00F3040B">
        <w:rPr>
          <w:rFonts w:cs="Arial"/>
          <w:b/>
          <w:i/>
          <w:sz w:val="17"/>
          <w:szCs w:val="17"/>
        </w:rPr>
        <w:t xml:space="preserve">prior to </w:t>
      </w:r>
      <w:r w:rsidRPr="00F3040B">
        <w:rPr>
          <w:rFonts w:cs="Arial"/>
          <w:b/>
          <w:i/>
          <w:sz w:val="17"/>
          <w:szCs w:val="17"/>
        </w:rPr>
        <w:t>the Board Meeting.</w:t>
      </w:r>
      <w:r w:rsidR="00630A78" w:rsidRPr="00F3040B">
        <w:rPr>
          <w:rFonts w:cs="Arial"/>
          <w:b/>
          <w:i/>
          <w:sz w:val="17"/>
          <w:szCs w:val="17"/>
        </w:rPr>
        <w:t xml:space="preserve">                </w:t>
      </w:r>
      <w:r w:rsidR="00E66BAF" w:rsidRPr="00F3040B">
        <w:rPr>
          <w:rFonts w:cs="Arial"/>
          <w:sz w:val="12"/>
          <w:szCs w:val="12"/>
        </w:rPr>
        <w:t xml:space="preserve">Revised </w:t>
      </w:r>
      <w:r w:rsidR="004E6635" w:rsidRPr="00F3040B">
        <w:rPr>
          <w:rFonts w:cs="Arial"/>
          <w:sz w:val="12"/>
          <w:szCs w:val="12"/>
        </w:rPr>
        <w:t>8/</w:t>
      </w:r>
      <w:r w:rsidR="00B71F49" w:rsidRPr="00F3040B">
        <w:rPr>
          <w:rFonts w:cs="Arial"/>
          <w:sz w:val="12"/>
          <w:szCs w:val="12"/>
        </w:rPr>
        <w:t>09/2021</w:t>
      </w:r>
      <w:r w:rsidRPr="00F3040B">
        <w:rPr>
          <w:rFonts w:cs="Arial"/>
          <w:b/>
          <w:i/>
          <w:sz w:val="12"/>
          <w:szCs w:val="12"/>
        </w:rPr>
        <w:t xml:space="preserve"> </w:t>
      </w:r>
    </w:p>
    <w:sectPr w:rsidR="00A14EC6" w:rsidRPr="00F3040B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1"/>
  </w:num>
  <w:num w:numId="2" w16cid:durableId="128746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A7401"/>
    <w:rsid w:val="000B126A"/>
    <w:rsid w:val="000B1594"/>
    <w:rsid w:val="000D6B91"/>
    <w:rsid w:val="00160D91"/>
    <w:rsid w:val="00190F5F"/>
    <w:rsid w:val="001A3D62"/>
    <w:rsid w:val="001B29F0"/>
    <w:rsid w:val="001C7BD1"/>
    <w:rsid w:val="001F3E19"/>
    <w:rsid w:val="001F4378"/>
    <w:rsid w:val="00211702"/>
    <w:rsid w:val="00212F2B"/>
    <w:rsid w:val="00246672"/>
    <w:rsid w:val="00247450"/>
    <w:rsid w:val="002677F3"/>
    <w:rsid w:val="00270599"/>
    <w:rsid w:val="0027332C"/>
    <w:rsid w:val="00280029"/>
    <w:rsid w:val="00280060"/>
    <w:rsid w:val="0029655A"/>
    <w:rsid w:val="002A08C1"/>
    <w:rsid w:val="002C7E96"/>
    <w:rsid w:val="0030282F"/>
    <w:rsid w:val="00314B1D"/>
    <w:rsid w:val="00317531"/>
    <w:rsid w:val="00342F12"/>
    <w:rsid w:val="00347C49"/>
    <w:rsid w:val="0035119D"/>
    <w:rsid w:val="00351A8D"/>
    <w:rsid w:val="003548D3"/>
    <w:rsid w:val="00367347"/>
    <w:rsid w:val="003761D4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46DBA"/>
    <w:rsid w:val="00472D9F"/>
    <w:rsid w:val="0048335C"/>
    <w:rsid w:val="004943CA"/>
    <w:rsid w:val="004C3523"/>
    <w:rsid w:val="004D106A"/>
    <w:rsid w:val="004E6635"/>
    <w:rsid w:val="00501B33"/>
    <w:rsid w:val="00506225"/>
    <w:rsid w:val="005379CD"/>
    <w:rsid w:val="00557998"/>
    <w:rsid w:val="0056511E"/>
    <w:rsid w:val="00592EDB"/>
    <w:rsid w:val="00593663"/>
    <w:rsid w:val="005A414A"/>
    <w:rsid w:val="005C08E3"/>
    <w:rsid w:val="005E45B9"/>
    <w:rsid w:val="005F35D7"/>
    <w:rsid w:val="00630A78"/>
    <w:rsid w:val="006331AA"/>
    <w:rsid w:val="006376C3"/>
    <w:rsid w:val="00645B7E"/>
    <w:rsid w:val="006516E8"/>
    <w:rsid w:val="00662F60"/>
    <w:rsid w:val="00665D9D"/>
    <w:rsid w:val="00677610"/>
    <w:rsid w:val="006B036E"/>
    <w:rsid w:val="006C4C1D"/>
    <w:rsid w:val="006F7C7C"/>
    <w:rsid w:val="00715648"/>
    <w:rsid w:val="00764394"/>
    <w:rsid w:val="007A66D6"/>
    <w:rsid w:val="007E06A9"/>
    <w:rsid w:val="007F15ED"/>
    <w:rsid w:val="007F7457"/>
    <w:rsid w:val="00815CD4"/>
    <w:rsid w:val="00826428"/>
    <w:rsid w:val="008326AB"/>
    <w:rsid w:val="008514F8"/>
    <w:rsid w:val="00851B0E"/>
    <w:rsid w:val="00877DC5"/>
    <w:rsid w:val="00887B36"/>
    <w:rsid w:val="008B6F8B"/>
    <w:rsid w:val="008D1DF2"/>
    <w:rsid w:val="009042C7"/>
    <w:rsid w:val="009668DA"/>
    <w:rsid w:val="009746DC"/>
    <w:rsid w:val="009A087D"/>
    <w:rsid w:val="009A58CF"/>
    <w:rsid w:val="009B4DDF"/>
    <w:rsid w:val="009B5441"/>
    <w:rsid w:val="009C4B29"/>
    <w:rsid w:val="009E194F"/>
    <w:rsid w:val="009E7391"/>
    <w:rsid w:val="00A12041"/>
    <w:rsid w:val="00A1290D"/>
    <w:rsid w:val="00A14EC6"/>
    <w:rsid w:val="00A231FE"/>
    <w:rsid w:val="00A42C6B"/>
    <w:rsid w:val="00A7441D"/>
    <w:rsid w:val="00AA7885"/>
    <w:rsid w:val="00AB4ED4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B74CF"/>
    <w:rsid w:val="00C040CE"/>
    <w:rsid w:val="00C06712"/>
    <w:rsid w:val="00C1070E"/>
    <w:rsid w:val="00C22EF2"/>
    <w:rsid w:val="00C35CB3"/>
    <w:rsid w:val="00C67400"/>
    <w:rsid w:val="00C8022D"/>
    <w:rsid w:val="00CA4F55"/>
    <w:rsid w:val="00CA51DF"/>
    <w:rsid w:val="00CB77E0"/>
    <w:rsid w:val="00CE2075"/>
    <w:rsid w:val="00CE42D0"/>
    <w:rsid w:val="00D048A8"/>
    <w:rsid w:val="00D07DC0"/>
    <w:rsid w:val="00D30171"/>
    <w:rsid w:val="00D33D82"/>
    <w:rsid w:val="00D61870"/>
    <w:rsid w:val="00D62338"/>
    <w:rsid w:val="00D7096F"/>
    <w:rsid w:val="00DB0806"/>
    <w:rsid w:val="00DB3096"/>
    <w:rsid w:val="00DC54A1"/>
    <w:rsid w:val="00DE216E"/>
    <w:rsid w:val="00DF2C0D"/>
    <w:rsid w:val="00DF4076"/>
    <w:rsid w:val="00DF67E6"/>
    <w:rsid w:val="00DF6B41"/>
    <w:rsid w:val="00E60EB6"/>
    <w:rsid w:val="00E66BAF"/>
    <w:rsid w:val="00EA12EF"/>
    <w:rsid w:val="00EE5C0A"/>
    <w:rsid w:val="00EF09B8"/>
    <w:rsid w:val="00F029B1"/>
    <w:rsid w:val="00F1178A"/>
    <w:rsid w:val="00F12BE7"/>
    <w:rsid w:val="00F218B0"/>
    <w:rsid w:val="00F3040B"/>
    <w:rsid w:val="00F37678"/>
    <w:rsid w:val="00F40862"/>
    <w:rsid w:val="00F46717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7</cp:revision>
  <cp:lastPrinted>2022-07-29T21:21:00Z</cp:lastPrinted>
  <dcterms:created xsi:type="dcterms:W3CDTF">2022-08-30T01:58:00Z</dcterms:created>
  <dcterms:modified xsi:type="dcterms:W3CDTF">2022-08-30T02:27:00Z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