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1946B846" w:rsidR="00BA6FF9" w:rsidRPr="00291360" w:rsidRDefault="00291360" w:rsidP="00CC3E8E">
      <w:pPr>
        <w:pStyle w:val="Heading1"/>
        <w:jc w:val="center"/>
        <w:rPr>
          <w:color w:val="auto"/>
        </w:rPr>
      </w:pPr>
      <w:r>
        <w:rPr>
          <w:color w:val="auto"/>
        </w:rPr>
        <w:t xml:space="preserve">Supplemental </w:t>
      </w:r>
      <w:r w:rsidR="00124746" w:rsidRPr="00291360">
        <w:rPr>
          <w:color w:val="auto"/>
        </w:rPr>
        <w:t>Staff Report</w:t>
      </w:r>
    </w:p>
    <w:p w14:paraId="0AEEA22D" w14:textId="0DB23C76" w:rsidR="00BA6FF9" w:rsidRPr="00291360" w:rsidRDefault="00785500" w:rsidP="00BA6FF9">
      <w:pPr>
        <w:ind w:left="2160" w:hanging="2160"/>
        <w:rPr>
          <w:szCs w:val="20"/>
        </w:rPr>
      </w:pPr>
      <w:r w:rsidRPr="00291360">
        <w:rPr>
          <w:szCs w:val="20"/>
        </w:rPr>
        <w:t>M</w:t>
      </w:r>
      <w:r w:rsidR="00124746" w:rsidRPr="00291360">
        <w:rPr>
          <w:szCs w:val="20"/>
        </w:rPr>
        <w:t>eeting Date</w:t>
      </w:r>
      <w:r w:rsidR="00BA6FF9" w:rsidRPr="00291360">
        <w:rPr>
          <w:szCs w:val="20"/>
        </w:rPr>
        <w:t>:</w:t>
      </w:r>
      <w:r w:rsidR="00BA6FF9" w:rsidRPr="00291360">
        <w:rPr>
          <w:szCs w:val="20"/>
        </w:rPr>
        <w:tab/>
      </w:r>
      <w:r w:rsidR="0017466A" w:rsidRPr="00291360">
        <w:rPr>
          <w:szCs w:val="20"/>
        </w:rPr>
        <w:t>August 2</w:t>
      </w:r>
      <w:r w:rsidR="00C644FF" w:rsidRPr="00291360">
        <w:rPr>
          <w:szCs w:val="20"/>
        </w:rPr>
        <w:t>, 2022</w:t>
      </w:r>
    </w:p>
    <w:p w14:paraId="7580C93E" w14:textId="77777777" w:rsidR="00BA6FF9" w:rsidRPr="00291360" w:rsidRDefault="00124746" w:rsidP="00BA6FF9">
      <w:pPr>
        <w:ind w:left="2160" w:hanging="2160"/>
        <w:rPr>
          <w:szCs w:val="20"/>
        </w:rPr>
      </w:pPr>
      <w:r w:rsidRPr="00291360">
        <w:rPr>
          <w:szCs w:val="20"/>
        </w:rPr>
        <w:t>To</w:t>
      </w:r>
      <w:r w:rsidR="00BA6FF9" w:rsidRPr="00291360">
        <w:rPr>
          <w:szCs w:val="20"/>
        </w:rPr>
        <w:t>:</w:t>
      </w:r>
      <w:r w:rsidR="00BA6FF9" w:rsidRPr="00291360">
        <w:rPr>
          <w:szCs w:val="20"/>
        </w:rPr>
        <w:tab/>
        <w:t>Siskiyou County Board of Supervisors</w:t>
      </w:r>
    </w:p>
    <w:p w14:paraId="0E6A2833" w14:textId="65606E1B" w:rsidR="00BA6FF9" w:rsidRPr="00291360" w:rsidRDefault="00124746" w:rsidP="00521DF2">
      <w:pPr>
        <w:tabs>
          <w:tab w:val="left" w:pos="2160"/>
        </w:tabs>
        <w:rPr>
          <w:szCs w:val="20"/>
        </w:rPr>
      </w:pPr>
      <w:r w:rsidRPr="00291360">
        <w:rPr>
          <w:szCs w:val="20"/>
        </w:rPr>
        <w:t>From</w:t>
      </w:r>
      <w:r w:rsidR="00521DF2" w:rsidRPr="00291360">
        <w:rPr>
          <w:szCs w:val="20"/>
        </w:rPr>
        <w:t>:</w:t>
      </w:r>
      <w:r w:rsidR="00521DF2" w:rsidRPr="00291360">
        <w:rPr>
          <w:szCs w:val="20"/>
        </w:rPr>
        <w:tab/>
      </w:r>
      <w:r w:rsidR="00C644FF" w:rsidRPr="00291360">
        <w:rPr>
          <w:szCs w:val="20"/>
        </w:rPr>
        <w:t>Bernadette Cizin</w:t>
      </w:r>
      <w:r w:rsidR="00220D28" w:rsidRPr="00291360">
        <w:rPr>
          <w:szCs w:val="20"/>
        </w:rPr>
        <w:t xml:space="preserve">, </w:t>
      </w:r>
      <w:r w:rsidR="00C644FF" w:rsidRPr="00291360">
        <w:rPr>
          <w:szCs w:val="20"/>
        </w:rPr>
        <w:t xml:space="preserve">Assistant </w:t>
      </w:r>
      <w:r w:rsidR="00220D28" w:rsidRPr="00291360">
        <w:rPr>
          <w:szCs w:val="20"/>
        </w:rPr>
        <w:t>Planner</w:t>
      </w:r>
    </w:p>
    <w:p w14:paraId="5CF3EA42" w14:textId="444FAA85" w:rsidR="00152028" w:rsidRDefault="00124746" w:rsidP="00521DF2">
      <w:pPr>
        <w:spacing w:after="120"/>
        <w:ind w:left="2160" w:hanging="2160"/>
        <w:jc w:val="both"/>
        <w:rPr>
          <w:szCs w:val="20"/>
        </w:rPr>
      </w:pPr>
      <w:r w:rsidRPr="00291360">
        <w:rPr>
          <w:szCs w:val="20"/>
        </w:rPr>
        <w:t>Subject</w:t>
      </w:r>
      <w:r w:rsidR="00BA6FF9" w:rsidRPr="00291360">
        <w:rPr>
          <w:szCs w:val="20"/>
        </w:rPr>
        <w:t>:</w:t>
      </w:r>
      <w:r w:rsidR="00BA6FF9" w:rsidRPr="00291360">
        <w:rPr>
          <w:szCs w:val="20"/>
        </w:rPr>
        <w:tab/>
        <w:t xml:space="preserve">Proposed </w:t>
      </w:r>
      <w:r w:rsidR="0004401F" w:rsidRPr="00291360">
        <w:rPr>
          <w:szCs w:val="20"/>
        </w:rPr>
        <w:t xml:space="preserve">Matthew &amp; Audrey Parsons Trust </w:t>
      </w:r>
      <w:r w:rsidR="00AA25A4" w:rsidRPr="00291360">
        <w:rPr>
          <w:szCs w:val="20"/>
        </w:rPr>
        <w:t xml:space="preserve">Agricultural Preserve Amendment, </w:t>
      </w:r>
      <w:r w:rsidR="00152028" w:rsidRPr="00291360">
        <w:rPr>
          <w:szCs w:val="20"/>
        </w:rPr>
        <w:t xml:space="preserve">Williamson Act </w:t>
      </w:r>
      <w:r w:rsidR="00AA25A4" w:rsidRPr="00291360">
        <w:rPr>
          <w:szCs w:val="20"/>
        </w:rPr>
        <w:t>Rescission</w:t>
      </w:r>
      <w:r w:rsidR="00152028" w:rsidRPr="00291360">
        <w:rPr>
          <w:szCs w:val="20"/>
        </w:rPr>
        <w:t xml:space="preserve"> and Re</w:t>
      </w:r>
      <w:r w:rsidR="001F5D33" w:rsidRPr="00291360">
        <w:rPr>
          <w:szCs w:val="20"/>
        </w:rPr>
        <w:t>-</w:t>
      </w:r>
      <w:r w:rsidR="00152028" w:rsidRPr="00291360">
        <w:rPr>
          <w:szCs w:val="20"/>
        </w:rPr>
        <w:t>entry (APA-2</w:t>
      </w:r>
      <w:r w:rsidR="00AA25A4" w:rsidRPr="00291360">
        <w:rPr>
          <w:szCs w:val="20"/>
        </w:rPr>
        <w:t>2</w:t>
      </w:r>
      <w:r w:rsidR="00152028" w:rsidRPr="00291360">
        <w:rPr>
          <w:szCs w:val="20"/>
        </w:rPr>
        <w:t>-02</w:t>
      </w:r>
      <w:r w:rsidR="0004401F" w:rsidRPr="00291360">
        <w:rPr>
          <w:szCs w:val="20"/>
        </w:rPr>
        <w:t>)</w:t>
      </w:r>
      <w:r w:rsidR="00152028" w:rsidRPr="00291360">
        <w:rPr>
          <w:szCs w:val="20"/>
        </w:rPr>
        <w:t xml:space="preserve"> and CEQA Determination</w:t>
      </w:r>
    </w:p>
    <w:p w14:paraId="3F4D8E0D" w14:textId="74865A9E" w:rsidR="00102903" w:rsidRPr="00291360" w:rsidRDefault="00102903" w:rsidP="00102903">
      <w:pPr>
        <w:spacing w:after="0"/>
        <w:ind w:left="2160" w:hanging="2160"/>
        <w:jc w:val="both"/>
        <w:rPr>
          <w:szCs w:val="20"/>
        </w:rPr>
      </w:pPr>
      <w:r>
        <w:rPr>
          <w:szCs w:val="20"/>
        </w:rPr>
        <w:t>Exhibits:</w:t>
      </w:r>
      <w:r>
        <w:rPr>
          <w:szCs w:val="20"/>
        </w:rPr>
        <w:tab/>
        <w:t>A. Rules for the Establishment and Administration of Agricultural Preserves and Williamson Act Contracts</w:t>
      </w:r>
    </w:p>
    <w:p w14:paraId="68D45C60" w14:textId="65D17D0C" w:rsidR="00BA6FF9" w:rsidRDefault="00785500" w:rsidP="0065432F">
      <w:pPr>
        <w:pStyle w:val="Heading2"/>
        <w:spacing w:before="600"/>
        <w:rPr>
          <w:color w:val="auto"/>
        </w:rPr>
      </w:pPr>
      <w:r w:rsidRPr="00291360">
        <w:rPr>
          <w:noProof/>
          <w:color w:val="auto"/>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91360">
        <w:rPr>
          <w:color w:val="auto"/>
        </w:rPr>
        <w:t>Background</w:t>
      </w:r>
      <w:r w:rsidR="00024F5B" w:rsidRPr="00291360">
        <w:rPr>
          <w:color w:val="auto"/>
        </w:rPr>
        <w:t xml:space="preserve"> and Discussion</w:t>
      </w:r>
    </w:p>
    <w:p w14:paraId="57BBB670" w14:textId="6B4C2A3D" w:rsidR="000A084C" w:rsidRDefault="000A084C" w:rsidP="000A084C">
      <w:pPr>
        <w:rPr>
          <w:rFonts w:cstheme="minorHAnsi"/>
        </w:rPr>
      </w:pPr>
      <w:r w:rsidRPr="0024490A">
        <w:rPr>
          <w:rFonts w:cstheme="minorHAnsi"/>
        </w:rPr>
        <w:t xml:space="preserve">The Williamson Act, also known as the California Land Conservation Act of 1965, enables local governments to enter into contracts with private landowners for the purpose of restricting specific parcels of land to agricultural or related open space use.  In return, landowners receive property tax assessments which are much lower than normal because they are based upon </w:t>
      </w:r>
      <w:r w:rsidR="0024490A">
        <w:rPr>
          <w:rFonts w:cstheme="minorHAnsi"/>
        </w:rPr>
        <w:t>agricultural</w:t>
      </w:r>
      <w:r w:rsidRPr="0024490A">
        <w:rPr>
          <w:rFonts w:cstheme="minorHAnsi"/>
        </w:rPr>
        <w:t xml:space="preserve"> uses as opposed to full market value. </w:t>
      </w:r>
    </w:p>
    <w:p w14:paraId="06F181B7" w14:textId="77777777" w:rsidR="0024490A" w:rsidRPr="0024490A" w:rsidRDefault="0024490A" w:rsidP="0024490A">
      <w:pPr>
        <w:rPr>
          <w:rFonts w:cstheme="minorHAnsi"/>
          <w:color w:val="333333"/>
          <w:shd w:val="clear" w:color="auto" w:fill="FFFFFF"/>
        </w:rPr>
      </w:pPr>
      <w:r w:rsidRPr="0024490A">
        <w:rPr>
          <w:rFonts w:cstheme="minorHAnsi"/>
          <w:color w:val="333333"/>
          <w:shd w:val="clear" w:color="auto" w:fill="FFFFFF"/>
        </w:rPr>
        <w:t>The Williamson Act is a means to restrict the uses of agricultural and open space lands to farming and ranching uses during the length of the contract period. The Williamson Act Program was also envisioned as a way for local governments to integrate the protection of open space and agricultural resources into their overall strategies for planning urban growth patterns. To this end, three principal objectives were originally outlined:</w:t>
      </w:r>
    </w:p>
    <w:p w14:paraId="7A09F72F" w14:textId="77777777" w:rsidR="0024490A" w:rsidRPr="0024490A" w:rsidRDefault="0024490A" w:rsidP="0024490A">
      <w:pPr>
        <w:pStyle w:val="ListParagraph"/>
        <w:numPr>
          <w:ilvl w:val="0"/>
          <w:numId w:val="22"/>
        </w:numPr>
        <w:rPr>
          <w:rFonts w:cstheme="minorHAnsi"/>
          <w:color w:val="333333"/>
          <w:shd w:val="clear" w:color="auto" w:fill="FFFFFF"/>
        </w:rPr>
      </w:pPr>
      <w:r w:rsidRPr="0024490A">
        <w:rPr>
          <w:rFonts w:cstheme="minorHAnsi"/>
          <w:color w:val="333333"/>
          <w:shd w:val="clear" w:color="auto" w:fill="FFFFFF"/>
        </w:rPr>
        <w:t>Protection of Agricultural Resources</w:t>
      </w:r>
    </w:p>
    <w:p w14:paraId="6B5CBEA2" w14:textId="77777777" w:rsidR="0024490A" w:rsidRPr="0024490A" w:rsidRDefault="0024490A" w:rsidP="0024490A">
      <w:pPr>
        <w:pStyle w:val="ListParagraph"/>
        <w:numPr>
          <w:ilvl w:val="0"/>
          <w:numId w:val="22"/>
        </w:numPr>
        <w:rPr>
          <w:rFonts w:cstheme="minorHAnsi"/>
          <w:color w:val="333333"/>
          <w:shd w:val="clear" w:color="auto" w:fill="FFFFFF"/>
        </w:rPr>
      </w:pPr>
      <w:r w:rsidRPr="0024490A">
        <w:rPr>
          <w:rFonts w:cstheme="minorHAnsi"/>
          <w:color w:val="333333"/>
          <w:shd w:val="clear" w:color="auto" w:fill="FFFFFF"/>
        </w:rPr>
        <w:t>Preservation of Open Space Land</w:t>
      </w:r>
    </w:p>
    <w:p w14:paraId="63FD494A" w14:textId="49D0CC9C" w:rsidR="0024490A" w:rsidRPr="0024490A" w:rsidRDefault="0024490A" w:rsidP="000A084C">
      <w:pPr>
        <w:pStyle w:val="ListParagraph"/>
        <w:numPr>
          <w:ilvl w:val="0"/>
          <w:numId w:val="22"/>
        </w:numPr>
        <w:rPr>
          <w:rFonts w:cstheme="minorHAnsi"/>
          <w:color w:val="333333"/>
          <w:shd w:val="clear" w:color="auto" w:fill="FFFFFF"/>
        </w:rPr>
      </w:pPr>
      <w:r w:rsidRPr="0024490A">
        <w:rPr>
          <w:rFonts w:cstheme="minorHAnsi"/>
          <w:color w:val="333333"/>
          <w:shd w:val="clear" w:color="auto" w:fill="FFFFFF"/>
        </w:rPr>
        <w:t>Promotion of Efficient Growth Patterns</w:t>
      </w:r>
    </w:p>
    <w:p w14:paraId="30B72AB3" w14:textId="299F582D" w:rsidR="000A084C" w:rsidRDefault="000A084C" w:rsidP="000A084C">
      <w:pPr>
        <w:rPr>
          <w:rFonts w:cstheme="minorHAnsi"/>
        </w:rPr>
      </w:pPr>
      <w:r w:rsidRPr="0024490A">
        <w:rPr>
          <w:rFonts w:cstheme="minorHAnsi"/>
        </w:rPr>
        <w:t>Participating counties and cities are required to establish their own rules and regulations regarding implementation of the Act within their jurisdiction.  These rules include but are not limited to: enrollment guidelines, acreage minimums, enforcement procedures, allowable uses, and compatible uses.</w:t>
      </w:r>
    </w:p>
    <w:p w14:paraId="61066F84" w14:textId="7FDCCC1E" w:rsidR="0024490A" w:rsidRPr="0024490A" w:rsidRDefault="0024490A" w:rsidP="000A084C">
      <w:pPr>
        <w:rPr>
          <w:rFonts w:cstheme="minorHAnsi"/>
        </w:rPr>
      </w:pPr>
      <w:r>
        <w:rPr>
          <w:rFonts w:cstheme="minorHAnsi"/>
        </w:rPr>
        <w:t xml:space="preserve">The Williamson Act Guidelines for Siskiyou County have relatively remained unchanged throughout the duration of the program. There was a minor amendment in 2020 which </w:t>
      </w:r>
      <w:r w:rsidR="002D3C97">
        <w:rPr>
          <w:rFonts w:cstheme="minorHAnsi"/>
        </w:rPr>
        <w:t>removed the requirement of maintaining an agricultural preserve advisory board. The defined agricultural uses, compatible uses, and other Williamson Act criteria have not been updated since 2011</w:t>
      </w:r>
      <w:r w:rsidR="00A15509">
        <w:rPr>
          <w:rFonts w:cstheme="minorHAnsi"/>
        </w:rPr>
        <w:t>. The guidelines do not have clear definitions of uses or terminology.</w:t>
      </w:r>
    </w:p>
    <w:p w14:paraId="3B8C7A48" w14:textId="0374EBB0" w:rsidR="000A084C" w:rsidRPr="0024490A" w:rsidRDefault="000A084C" w:rsidP="00102903">
      <w:pPr>
        <w:rPr>
          <w:rFonts w:cstheme="minorHAnsi"/>
        </w:rPr>
      </w:pPr>
      <w:bookmarkStart w:id="0" w:name="_Hlk7426055"/>
      <w:r w:rsidRPr="0024490A">
        <w:rPr>
          <w:rFonts w:cstheme="minorHAnsi"/>
        </w:rPr>
        <w:t xml:space="preserve">On June 14, 2022, staff brought before the board a proposed Agricultural Preserve amendment to bring approximately 525 acres, owned by Matthew &amp; Audrey Parsons Trust, under one individual preserve and a single Williamson Act contract. The property is primarily used for row and field crops and uses such as the residence of the property owners, farm employee housing and accessory structures. Staff recommended that the board not approve the request as there is an open code compliance case on one of the subject parcels. After board discussion and comment by the applicant, the public hearing was continued to today’s date. </w:t>
      </w:r>
    </w:p>
    <w:p w14:paraId="3915BAFA" w14:textId="77777777" w:rsidR="0083172E" w:rsidRDefault="0083172E">
      <w:pPr>
        <w:spacing w:after="0" w:line="240" w:lineRule="auto"/>
        <w:rPr>
          <w:rFonts w:cstheme="minorHAnsi"/>
          <w:b/>
          <w:bCs/>
          <w:u w:val="single"/>
        </w:rPr>
      </w:pPr>
      <w:r>
        <w:rPr>
          <w:rFonts w:cstheme="minorHAnsi"/>
          <w:b/>
          <w:bCs/>
          <w:u w:val="single"/>
        </w:rPr>
        <w:br w:type="page"/>
      </w:r>
    </w:p>
    <w:p w14:paraId="382A8C1A" w14:textId="4FE5AC74" w:rsidR="00070254" w:rsidRPr="0024490A" w:rsidRDefault="00070254" w:rsidP="0083172E">
      <w:pPr>
        <w:spacing w:after="120" w:line="240" w:lineRule="auto"/>
        <w:rPr>
          <w:rFonts w:cstheme="minorHAnsi"/>
        </w:rPr>
      </w:pPr>
      <w:r w:rsidRPr="0024490A">
        <w:rPr>
          <w:rFonts w:cstheme="minorHAnsi"/>
          <w:b/>
          <w:bCs/>
          <w:u w:val="single"/>
        </w:rPr>
        <w:lastRenderedPageBreak/>
        <w:t>Code Enforcement Case</w:t>
      </w:r>
      <w:r w:rsidRPr="0024490A">
        <w:rPr>
          <w:rFonts w:cstheme="minorHAnsi"/>
        </w:rPr>
        <w:br/>
        <w:t xml:space="preserve">Code enforcement officers have revisited the site since the June hearing. </w:t>
      </w:r>
      <w:r w:rsidR="00F83D17" w:rsidRPr="0024490A">
        <w:rPr>
          <w:rFonts w:cstheme="minorHAnsi"/>
        </w:rPr>
        <w:t>It appears</w:t>
      </w:r>
      <w:r w:rsidRPr="0024490A">
        <w:rPr>
          <w:rFonts w:cstheme="minorHAnsi"/>
        </w:rPr>
        <w:t xml:space="preserve"> that progress is being made on the removal of the logs by processing and preparing for sale. It also</w:t>
      </w:r>
      <w:r w:rsidR="00B66A25" w:rsidRPr="0024490A">
        <w:rPr>
          <w:rFonts w:cstheme="minorHAnsi"/>
        </w:rPr>
        <w:t xml:space="preserve"> appears that some of the commercially produced wood pellets have been removed however it is difficult to know how much remains as the</w:t>
      </w:r>
      <w:r w:rsidR="007E4687" w:rsidRPr="0024490A">
        <w:rPr>
          <w:rFonts w:cstheme="minorHAnsi"/>
        </w:rPr>
        <w:t>ir</w:t>
      </w:r>
      <w:r w:rsidR="00B66A25" w:rsidRPr="0024490A">
        <w:rPr>
          <w:rFonts w:cstheme="minorHAnsi"/>
        </w:rPr>
        <w:t xml:space="preserve"> observations were from the County Road Right-of-Way.</w:t>
      </w:r>
    </w:p>
    <w:p w14:paraId="70D54F44" w14:textId="1C86166A" w:rsidR="00B66A25" w:rsidRPr="0024490A" w:rsidRDefault="00B66A25" w:rsidP="0083172E">
      <w:pPr>
        <w:spacing w:line="240" w:lineRule="auto"/>
        <w:rPr>
          <w:rFonts w:cstheme="minorHAnsi"/>
        </w:rPr>
      </w:pPr>
      <w:r w:rsidRPr="0024490A">
        <w:rPr>
          <w:rFonts w:cstheme="minorHAnsi"/>
        </w:rPr>
        <w:t xml:space="preserve">The last report by the property owners was that they continue to work on removing the firewood processing business. They also continue to work towards the removal of the stored commercially produced wood pellets. They anticipate having the commercial wood pellets, firewood processing and storage off of the site </w:t>
      </w:r>
      <w:r w:rsidR="007B6040" w:rsidRPr="0024490A">
        <w:rPr>
          <w:rFonts w:cstheme="minorHAnsi"/>
        </w:rPr>
        <w:t xml:space="preserve">by </w:t>
      </w:r>
      <w:r w:rsidRPr="0024490A">
        <w:rPr>
          <w:rFonts w:cstheme="minorHAnsi"/>
        </w:rPr>
        <w:t>February of 2023.</w:t>
      </w:r>
    </w:p>
    <w:p w14:paraId="38856736" w14:textId="465F9FE5" w:rsidR="00B66A25" w:rsidRPr="0024490A" w:rsidRDefault="00B66A25" w:rsidP="00B66A25">
      <w:pPr>
        <w:spacing w:after="0"/>
        <w:rPr>
          <w:rFonts w:cstheme="minorHAnsi"/>
          <w:b/>
          <w:bCs/>
          <w:u w:val="single"/>
        </w:rPr>
      </w:pPr>
      <w:r w:rsidRPr="0024490A">
        <w:rPr>
          <w:rFonts w:cstheme="minorHAnsi"/>
          <w:b/>
          <w:bCs/>
          <w:u w:val="single"/>
        </w:rPr>
        <w:t>Options to Continue the Business</w:t>
      </w:r>
    </w:p>
    <w:p w14:paraId="090E3656" w14:textId="51AEE1EE" w:rsidR="007E4687" w:rsidRPr="0024490A" w:rsidRDefault="00070254" w:rsidP="00070254">
      <w:pPr>
        <w:rPr>
          <w:rFonts w:cstheme="minorHAnsi"/>
        </w:rPr>
      </w:pPr>
      <w:r w:rsidRPr="0024490A">
        <w:rPr>
          <w:rFonts w:cstheme="minorHAnsi"/>
        </w:rPr>
        <w:t xml:space="preserve">Staff and the property owners have had several discussions on how they can continue the wood processing and firewood sales. </w:t>
      </w:r>
      <w:r w:rsidR="007E4687" w:rsidRPr="0024490A">
        <w:rPr>
          <w:rFonts w:cstheme="minorHAnsi"/>
        </w:rPr>
        <w:t xml:space="preserve">There are two primary reasons why the current location of the wood processing site along with the storage of the commercially produced wood pellets is not </w:t>
      </w:r>
      <w:r w:rsidR="00351B07" w:rsidRPr="0024490A">
        <w:rPr>
          <w:rFonts w:cstheme="minorHAnsi"/>
        </w:rPr>
        <w:t>allowed</w:t>
      </w:r>
      <w:r w:rsidR="007E4687" w:rsidRPr="0024490A">
        <w:rPr>
          <w:rFonts w:cstheme="minorHAnsi"/>
        </w:rPr>
        <w:t>.</w:t>
      </w:r>
    </w:p>
    <w:p w14:paraId="4BC3E688" w14:textId="4EC155E2" w:rsidR="00B66A25" w:rsidRPr="0024490A" w:rsidRDefault="003E7E2D" w:rsidP="003E7E2D">
      <w:pPr>
        <w:rPr>
          <w:rFonts w:cstheme="minorHAnsi"/>
        </w:rPr>
      </w:pPr>
      <w:r w:rsidRPr="0024490A">
        <w:rPr>
          <w:rFonts w:cstheme="minorHAnsi"/>
          <w:b/>
          <w:bCs/>
        </w:rPr>
        <w:t>Zoning</w:t>
      </w:r>
      <w:r w:rsidR="007E4687" w:rsidRPr="0024490A">
        <w:rPr>
          <w:rFonts w:cstheme="minorHAnsi"/>
        </w:rPr>
        <w:t xml:space="preserve"> – </w:t>
      </w:r>
      <w:r w:rsidR="007B6040" w:rsidRPr="0024490A">
        <w:rPr>
          <w:rFonts w:cstheme="minorHAnsi"/>
        </w:rPr>
        <w:t>The site</w:t>
      </w:r>
      <w:r w:rsidR="007E4687" w:rsidRPr="0024490A">
        <w:rPr>
          <w:rFonts w:cstheme="minorHAnsi"/>
        </w:rPr>
        <w:t xml:space="preserve"> zoned Prime Agricultural which does not allow for </w:t>
      </w:r>
      <w:r w:rsidR="00F72010" w:rsidRPr="0024490A">
        <w:rPr>
          <w:rFonts w:cstheme="minorHAnsi"/>
        </w:rPr>
        <w:t>processing facilities of any type</w:t>
      </w:r>
      <w:r w:rsidR="00351B07" w:rsidRPr="0024490A">
        <w:rPr>
          <w:rFonts w:cstheme="minorHAnsi"/>
        </w:rPr>
        <w:t>, n</w:t>
      </w:r>
      <w:r w:rsidR="00F72010" w:rsidRPr="0024490A">
        <w:rPr>
          <w:rFonts w:cstheme="minorHAnsi"/>
        </w:rPr>
        <w:t>or does it allow for bulk commercial storage.</w:t>
      </w:r>
    </w:p>
    <w:p w14:paraId="6E1EE94E" w14:textId="11EA7014" w:rsidR="00F72010" w:rsidRPr="0024490A" w:rsidRDefault="00F72010" w:rsidP="003E7E2D">
      <w:pPr>
        <w:rPr>
          <w:rFonts w:cstheme="minorHAnsi"/>
        </w:rPr>
      </w:pPr>
      <w:r w:rsidRPr="0024490A">
        <w:rPr>
          <w:rFonts w:cstheme="minorHAnsi"/>
          <w:b/>
          <w:bCs/>
        </w:rPr>
        <w:t xml:space="preserve">Williamson Act </w:t>
      </w:r>
      <w:r w:rsidR="003E7E2D" w:rsidRPr="0024490A">
        <w:rPr>
          <w:rFonts w:cstheme="minorHAnsi"/>
          <w:b/>
          <w:bCs/>
        </w:rPr>
        <w:t>Rules</w:t>
      </w:r>
      <w:r w:rsidRPr="0024490A">
        <w:rPr>
          <w:rFonts w:cstheme="minorHAnsi"/>
        </w:rPr>
        <w:t xml:space="preserve"> </w:t>
      </w:r>
      <w:r w:rsidR="00FA0C52" w:rsidRPr="0024490A">
        <w:rPr>
          <w:rFonts w:cstheme="minorHAnsi"/>
        </w:rPr>
        <w:t>–</w:t>
      </w:r>
      <w:r w:rsidRPr="0024490A">
        <w:rPr>
          <w:rFonts w:cstheme="minorHAnsi"/>
        </w:rPr>
        <w:t xml:space="preserve"> </w:t>
      </w:r>
      <w:r w:rsidR="007B6040" w:rsidRPr="0024490A">
        <w:rPr>
          <w:rFonts w:cstheme="minorHAnsi"/>
        </w:rPr>
        <w:t xml:space="preserve">Only </w:t>
      </w:r>
      <w:r w:rsidR="00FA0C52" w:rsidRPr="0024490A">
        <w:rPr>
          <w:rFonts w:cstheme="minorHAnsi"/>
        </w:rPr>
        <w:t xml:space="preserve">Wood processing facilities for timber which </w:t>
      </w:r>
      <w:r w:rsidR="007B6040" w:rsidRPr="0024490A">
        <w:rPr>
          <w:rFonts w:cstheme="minorHAnsi"/>
        </w:rPr>
        <w:t>timber was</w:t>
      </w:r>
      <w:r w:rsidR="00FA0C52" w:rsidRPr="0024490A">
        <w:rPr>
          <w:rFonts w:cstheme="minorHAnsi"/>
        </w:rPr>
        <w:t xml:space="preserve"> grown </w:t>
      </w:r>
      <w:r w:rsidR="00505760" w:rsidRPr="0024490A">
        <w:rPr>
          <w:rFonts w:cstheme="minorHAnsi"/>
        </w:rPr>
        <w:t>and</w:t>
      </w:r>
      <w:r w:rsidR="00FA0C52" w:rsidRPr="0024490A">
        <w:rPr>
          <w:rFonts w:cstheme="minorHAnsi"/>
        </w:rPr>
        <w:t xml:space="preserve"> harvested on the contracted property is</w:t>
      </w:r>
      <w:r w:rsidR="007B6040" w:rsidRPr="0024490A">
        <w:rPr>
          <w:rFonts w:cstheme="minorHAnsi"/>
        </w:rPr>
        <w:t xml:space="preserve"> </w:t>
      </w:r>
      <w:r w:rsidR="00FA0C52" w:rsidRPr="0024490A">
        <w:rPr>
          <w:rFonts w:cstheme="minorHAnsi"/>
        </w:rPr>
        <w:t>considered a</w:t>
      </w:r>
      <w:r w:rsidR="007B6040" w:rsidRPr="0024490A">
        <w:rPr>
          <w:rFonts w:cstheme="minorHAnsi"/>
        </w:rPr>
        <w:t>n</w:t>
      </w:r>
      <w:r w:rsidR="00FA0C52" w:rsidRPr="0024490A">
        <w:rPr>
          <w:rFonts w:cstheme="minorHAnsi"/>
        </w:rPr>
        <w:t xml:space="preserve"> Agricultural Production</w:t>
      </w:r>
      <w:r w:rsidR="007B6040" w:rsidRPr="0024490A">
        <w:rPr>
          <w:rFonts w:cstheme="minorHAnsi"/>
        </w:rPr>
        <w:t>.</w:t>
      </w:r>
      <w:r w:rsidR="00FA0C52" w:rsidRPr="0024490A">
        <w:rPr>
          <w:rFonts w:cstheme="minorHAnsi"/>
        </w:rPr>
        <w:t xml:space="preserve"> </w:t>
      </w:r>
      <w:r w:rsidR="007B6040" w:rsidRPr="0024490A">
        <w:rPr>
          <w:rFonts w:cstheme="minorHAnsi"/>
        </w:rPr>
        <w:t>No wood processing facilities are considered a</w:t>
      </w:r>
      <w:r w:rsidR="00FA0C52" w:rsidRPr="0024490A">
        <w:rPr>
          <w:rFonts w:cstheme="minorHAnsi"/>
        </w:rPr>
        <w:t xml:space="preserve"> Compatible Use (Rules Section IV)</w:t>
      </w:r>
    </w:p>
    <w:p w14:paraId="5A393081" w14:textId="2896E3E4" w:rsidR="00FA0C52" w:rsidRPr="0024490A" w:rsidRDefault="00FA0C52" w:rsidP="00FA0C52">
      <w:pPr>
        <w:rPr>
          <w:rFonts w:cstheme="minorHAnsi"/>
        </w:rPr>
      </w:pPr>
      <w:r w:rsidRPr="0024490A">
        <w:rPr>
          <w:rFonts w:cstheme="minorHAnsi"/>
        </w:rPr>
        <w:t xml:space="preserve">Staff has attempted to find a </w:t>
      </w:r>
      <w:r w:rsidR="007B6040" w:rsidRPr="0024490A">
        <w:rPr>
          <w:rFonts w:cstheme="minorHAnsi"/>
        </w:rPr>
        <w:t>path</w:t>
      </w:r>
      <w:r w:rsidRPr="0024490A">
        <w:rPr>
          <w:rFonts w:cstheme="minorHAnsi"/>
        </w:rPr>
        <w:t xml:space="preserve"> for the Parsons to continue </w:t>
      </w:r>
      <w:r w:rsidR="0015780B" w:rsidRPr="0024490A">
        <w:rPr>
          <w:rFonts w:cstheme="minorHAnsi"/>
        </w:rPr>
        <w:t>the</w:t>
      </w:r>
      <w:r w:rsidRPr="0024490A">
        <w:rPr>
          <w:rFonts w:cstheme="minorHAnsi"/>
        </w:rPr>
        <w:t xml:space="preserve"> business on their land</w:t>
      </w:r>
      <w:r w:rsidR="00C75339" w:rsidRPr="0024490A">
        <w:rPr>
          <w:rFonts w:cstheme="minorHAnsi"/>
        </w:rPr>
        <w:t xml:space="preserve"> with the current zoning and Williamson Act Contract</w:t>
      </w:r>
      <w:r w:rsidR="0015780B" w:rsidRPr="0024490A">
        <w:rPr>
          <w:rFonts w:cstheme="minorHAnsi"/>
        </w:rPr>
        <w:t xml:space="preserve"> restrictions</w:t>
      </w:r>
      <w:r w:rsidR="00C75339" w:rsidRPr="0024490A">
        <w:rPr>
          <w:rFonts w:cstheme="minorHAnsi"/>
        </w:rPr>
        <w:t xml:space="preserve">. The following options have been discussed with the property owners, none of which </w:t>
      </w:r>
      <w:r w:rsidR="009003E7" w:rsidRPr="0024490A">
        <w:rPr>
          <w:rFonts w:cstheme="minorHAnsi"/>
        </w:rPr>
        <w:t>the</w:t>
      </w:r>
      <w:r w:rsidR="0015780B" w:rsidRPr="0024490A">
        <w:rPr>
          <w:rFonts w:cstheme="minorHAnsi"/>
        </w:rPr>
        <w:t>y</w:t>
      </w:r>
      <w:r w:rsidR="009003E7" w:rsidRPr="0024490A">
        <w:rPr>
          <w:rFonts w:cstheme="minorHAnsi"/>
        </w:rPr>
        <w:t xml:space="preserve"> consider to be a</w:t>
      </w:r>
      <w:r w:rsidR="00C75339" w:rsidRPr="0024490A">
        <w:rPr>
          <w:rFonts w:cstheme="minorHAnsi"/>
        </w:rPr>
        <w:t xml:space="preserve"> viable option for them</w:t>
      </w:r>
      <w:r w:rsidRPr="0024490A">
        <w:rPr>
          <w:rFonts w:cstheme="minorHAnsi"/>
        </w:rPr>
        <w:t>.</w:t>
      </w:r>
    </w:p>
    <w:p w14:paraId="3C29A0BD" w14:textId="77777777" w:rsidR="00FE7986" w:rsidRPr="0024490A" w:rsidRDefault="0016631E" w:rsidP="0016631E">
      <w:pPr>
        <w:spacing w:after="0"/>
        <w:ind w:left="1440" w:hanging="1440"/>
        <w:rPr>
          <w:rFonts w:cstheme="minorHAnsi"/>
        </w:rPr>
      </w:pPr>
      <w:r w:rsidRPr="0024490A">
        <w:rPr>
          <w:rFonts w:cstheme="minorHAnsi"/>
        </w:rPr>
        <w:t xml:space="preserve">Option 1. </w:t>
      </w:r>
      <w:r w:rsidRPr="0024490A">
        <w:rPr>
          <w:rFonts w:cstheme="minorHAnsi"/>
        </w:rPr>
        <w:tab/>
      </w:r>
    </w:p>
    <w:p w14:paraId="56C0CC1A" w14:textId="024214EE" w:rsidR="0016631E" w:rsidRPr="0024490A" w:rsidRDefault="0015780B" w:rsidP="0016631E">
      <w:pPr>
        <w:spacing w:after="0"/>
        <w:ind w:left="1440" w:hanging="1440"/>
        <w:rPr>
          <w:rFonts w:cstheme="minorHAnsi"/>
        </w:rPr>
      </w:pPr>
      <w:r w:rsidRPr="0024490A">
        <w:rPr>
          <w:rFonts w:cstheme="minorHAnsi"/>
        </w:rPr>
        <w:t xml:space="preserve">Apply with the County to - </w:t>
      </w:r>
    </w:p>
    <w:p w14:paraId="6799267B" w14:textId="1F8DDB40" w:rsidR="0016631E" w:rsidRPr="0024490A" w:rsidRDefault="0015780B" w:rsidP="0016631E">
      <w:pPr>
        <w:pStyle w:val="ListParagraph"/>
        <w:numPr>
          <w:ilvl w:val="0"/>
          <w:numId w:val="18"/>
        </w:numPr>
        <w:spacing w:after="0"/>
        <w:rPr>
          <w:rFonts w:cstheme="minorHAnsi"/>
        </w:rPr>
      </w:pPr>
      <w:r w:rsidRPr="0024490A">
        <w:rPr>
          <w:rFonts w:cstheme="minorHAnsi"/>
        </w:rPr>
        <w:t>R</w:t>
      </w:r>
      <w:r w:rsidR="00CA2D63" w:rsidRPr="0024490A">
        <w:rPr>
          <w:rFonts w:cstheme="minorHAnsi"/>
        </w:rPr>
        <w:t xml:space="preserve">ezone </w:t>
      </w:r>
      <w:r w:rsidRPr="0024490A">
        <w:rPr>
          <w:rFonts w:cstheme="minorHAnsi"/>
        </w:rPr>
        <w:t>a</w:t>
      </w:r>
      <w:r w:rsidR="00CA2D63" w:rsidRPr="0024490A">
        <w:rPr>
          <w:rFonts w:cstheme="minorHAnsi"/>
        </w:rPr>
        <w:t xml:space="preserve"> portion of property</w:t>
      </w:r>
      <w:r w:rsidR="0045700D" w:rsidRPr="0024490A">
        <w:rPr>
          <w:rFonts w:cstheme="minorHAnsi"/>
        </w:rPr>
        <w:t xml:space="preserve"> (approximately 5 acres)</w:t>
      </w:r>
      <w:r w:rsidR="00CA2D63" w:rsidRPr="0024490A">
        <w:rPr>
          <w:rFonts w:cstheme="minorHAnsi"/>
        </w:rPr>
        <w:t xml:space="preserve"> where the processing site is from AG-1 to AG-2</w:t>
      </w:r>
      <w:r w:rsidRPr="0024490A">
        <w:rPr>
          <w:rFonts w:cstheme="minorHAnsi"/>
        </w:rPr>
        <w:t>.</w:t>
      </w:r>
    </w:p>
    <w:p w14:paraId="5FDEFD4B" w14:textId="64335852" w:rsidR="0016631E" w:rsidRPr="0024490A" w:rsidRDefault="0016631E" w:rsidP="0016631E">
      <w:pPr>
        <w:pStyle w:val="ListParagraph"/>
        <w:numPr>
          <w:ilvl w:val="0"/>
          <w:numId w:val="18"/>
        </w:numPr>
        <w:rPr>
          <w:rFonts w:cstheme="minorHAnsi"/>
        </w:rPr>
      </w:pPr>
      <w:r w:rsidRPr="0024490A">
        <w:rPr>
          <w:rFonts w:cstheme="minorHAnsi"/>
        </w:rPr>
        <w:t>D</w:t>
      </w:r>
      <w:r w:rsidR="00CA2D63" w:rsidRPr="0024490A">
        <w:rPr>
          <w:rFonts w:cstheme="minorHAnsi"/>
        </w:rPr>
        <w:t xml:space="preserve">ivide </w:t>
      </w:r>
      <w:r w:rsidR="0045700D" w:rsidRPr="0024490A">
        <w:rPr>
          <w:rFonts w:cstheme="minorHAnsi"/>
        </w:rPr>
        <w:t xml:space="preserve">40 acres containing the </w:t>
      </w:r>
      <w:r w:rsidR="006674C3" w:rsidRPr="0024490A">
        <w:rPr>
          <w:rFonts w:cstheme="minorHAnsi"/>
        </w:rPr>
        <w:t>business from</w:t>
      </w:r>
      <w:r w:rsidR="0045700D" w:rsidRPr="0024490A">
        <w:rPr>
          <w:rFonts w:cstheme="minorHAnsi"/>
        </w:rPr>
        <w:t xml:space="preserve"> the existing parcel</w:t>
      </w:r>
      <w:r w:rsidR="00F25CF6">
        <w:rPr>
          <w:rFonts w:cstheme="minorHAnsi"/>
        </w:rPr>
        <w:t>.</w:t>
      </w:r>
    </w:p>
    <w:p w14:paraId="333CF974" w14:textId="20D01B1B" w:rsidR="0016631E" w:rsidRPr="0024490A" w:rsidRDefault="0015780B" w:rsidP="0016631E">
      <w:pPr>
        <w:pStyle w:val="ListParagraph"/>
        <w:numPr>
          <w:ilvl w:val="0"/>
          <w:numId w:val="18"/>
        </w:numPr>
        <w:rPr>
          <w:rFonts w:cstheme="minorHAnsi"/>
        </w:rPr>
      </w:pPr>
      <w:r w:rsidRPr="0024490A">
        <w:rPr>
          <w:rFonts w:cstheme="minorHAnsi"/>
        </w:rPr>
        <w:t>O</w:t>
      </w:r>
      <w:r w:rsidR="0045700D" w:rsidRPr="0024490A">
        <w:rPr>
          <w:rFonts w:cstheme="minorHAnsi"/>
        </w:rPr>
        <w:t xml:space="preserve">btain a Use Permit to allow for a wood processing facility </w:t>
      </w:r>
      <w:r w:rsidRPr="0024490A">
        <w:rPr>
          <w:rFonts w:cstheme="minorHAnsi"/>
        </w:rPr>
        <w:t xml:space="preserve">and bulk storage </w:t>
      </w:r>
      <w:r w:rsidR="0045700D" w:rsidRPr="0024490A">
        <w:rPr>
          <w:rFonts w:cstheme="minorHAnsi"/>
        </w:rPr>
        <w:t>at the existing site</w:t>
      </w:r>
      <w:r w:rsidR="00F25CF6">
        <w:rPr>
          <w:rFonts w:cstheme="minorHAnsi"/>
        </w:rPr>
        <w:t>.</w:t>
      </w:r>
    </w:p>
    <w:p w14:paraId="79971889" w14:textId="6AACA210" w:rsidR="00CA2D63" w:rsidRPr="0024490A" w:rsidRDefault="0015780B" w:rsidP="0016631E">
      <w:pPr>
        <w:pStyle w:val="ListParagraph"/>
        <w:numPr>
          <w:ilvl w:val="0"/>
          <w:numId w:val="18"/>
        </w:numPr>
        <w:rPr>
          <w:rFonts w:cstheme="minorHAnsi"/>
        </w:rPr>
      </w:pPr>
      <w:r w:rsidRPr="0024490A">
        <w:rPr>
          <w:rFonts w:cstheme="minorHAnsi"/>
        </w:rPr>
        <w:t>C</w:t>
      </w:r>
      <w:r w:rsidR="0045700D" w:rsidRPr="0024490A">
        <w:rPr>
          <w:rFonts w:cstheme="minorHAnsi"/>
        </w:rPr>
        <w:t>ancel the Williamson Act Contract on these 40 acres</w:t>
      </w:r>
      <w:r w:rsidR="00F25CF6">
        <w:rPr>
          <w:rFonts w:cstheme="minorHAnsi"/>
        </w:rPr>
        <w:t>.</w:t>
      </w:r>
    </w:p>
    <w:p w14:paraId="6CBC5B10" w14:textId="77777777" w:rsidR="00FE7986" w:rsidRPr="0024490A" w:rsidRDefault="0045700D" w:rsidP="004660F1">
      <w:pPr>
        <w:spacing w:after="0"/>
        <w:ind w:left="1440" w:hanging="1440"/>
        <w:rPr>
          <w:rFonts w:cstheme="minorHAnsi"/>
        </w:rPr>
      </w:pPr>
      <w:r w:rsidRPr="0024490A">
        <w:rPr>
          <w:rFonts w:cstheme="minorHAnsi"/>
        </w:rPr>
        <w:t>Option 2</w:t>
      </w:r>
      <w:r w:rsidR="0015780B" w:rsidRPr="0024490A">
        <w:rPr>
          <w:rFonts w:cstheme="minorHAnsi"/>
        </w:rPr>
        <w:t>.</w:t>
      </w:r>
      <w:r w:rsidR="0015780B" w:rsidRPr="0024490A">
        <w:rPr>
          <w:rFonts w:cstheme="minorHAnsi"/>
        </w:rPr>
        <w:tab/>
      </w:r>
    </w:p>
    <w:p w14:paraId="09C2F4CA" w14:textId="240847EF" w:rsidR="00DE09B0" w:rsidRPr="0024490A" w:rsidRDefault="0015780B" w:rsidP="004660F1">
      <w:pPr>
        <w:spacing w:after="0"/>
        <w:ind w:left="1440" w:hanging="1440"/>
        <w:rPr>
          <w:rFonts w:cstheme="minorHAnsi"/>
        </w:rPr>
      </w:pPr>
      <w:r w:rsidRPr="0024490A">
        <w:rPr>
          <w:rFonts w:cstheme="minorHAnsi"/>
        </w:rPr>
        <w:t>Apply with the County to -</w:t>
      </w:r>
      <w:r w:rsidR="0045700D" w:rsidRPr="0024490A">
        <w:rPr>
          <w:rFonts w:cstheme="minorHAnsi"/>
        </w:rPr>
        <w:tab/>
      </w:r>
    </w:p>
    <w:p w14:paraId="5BBAE33D" w14:textId="7BD2360C" w:rsidR="004660F1" w:rsidRPr="0024490A" w:rsidRDefault="006674C3" w:rsidP="00DE09B0">
      <w:pPr>
        <w:pStyle w:val="ListParagraph"/>
        <w:numPr>
          <w:ilvl w:val="0"/>
          <w:numId w:val="19"/>
        </w:numPr>
        <w:rPr>
          <w:rFonts w:cstheme="minorHAnsi"/>
        </w:rPr>
      </w:pPr>
      <w:r w:rsidRPr="0024490A">
        <w:rPr>
          <w:rFonts w:cstheme="minorHAnsi"/>
        </w:rPr>
        <w:t>Relocate the</w:t>
      </w:r>
      <w:r w:rsidR="004660F1" w:rsidRPr="0024490A">
        <w:rPr>
          <w:rFonts w:cstheme="minorHAnsi"/>
        </w:rPr>
        <w:t xml:space="preserve"> business to an area on their property which is zoned </w:t>
      </w:r>
      <w:r w:rsidRPr="0024490A">
        <w:rPr>
          <w:rFonts w:cstheme="minorHAnsi"/>
        </w:rPr>
        <w:t>AG-2</w:t>
      </w:r>
      <w:r w:rsidR="00F25CF6">
        <w:rPr>
          <w:rFonts w:cstheme="minorHAnsi"/>
        </w:rPr>
        <w:t>.</w:t>
      </w:r>
    </w:p>
    <w:p w14:paraId="7E7DC2C6" w14:textId="2DF2B3C7" w:rsidR="00DE09B0" w:rsidRPr="0024490A" w:rsidRDefault="0015780B" w:rsidP="00DE09B0">
      <w:pPr>
        <w:pStyle w:val="ListParagraph"/>
        <w:numPr>
          <w:ilvl w:val="0"/>
          <w:numId w:val="19"/>
        </w:numPr>
        <w:rPr>
          <w:rFonts w:cstheme="minorHAnsi"/>
        </w:rPr>
      </w:pPr>
      <w:r w:rsidRPr="0024490A">
        <w:rPr>
          <w:rFonts w:cstheme="minorHAnsi"/>
        </w:rPr>
        <w:t>D</w:t>
      </w:r>
      <w:r w:rsidR="003211E3" w:rsidRPr="0024490A">
        <w:rPr>
          <w:rFonts w:cstheme="minorHAnsi"/>
        </w:rPr>
        <w:t xml:space="preserve">ivide 40-acres </w:t>
      </w:r>
      <w:r w:rsidR="004660F1" w:rsidRPr="0024490A">
        <w:rPr>
          <w:rFonts w:cstheme="minorHAnsi"/>
        </w:rPr>
        <w:t>containing this</w:t>
      </w:r>
      <w:r w:rsidR="003211E3" w:rsidRPr="0024490A">
        <w:rPr>
          <w:rFonts w:cstheme="minorHAnsi"/>
        </w:rPr>
        <w:t xml:space="preserve"> </w:t>
      </w:r>
      <w:r w:rsidR="004660F1" w:rsidRPr="0024490A">
        <w:rPr>
          <w:rFonts w:cstheme="minorHAnsi"/>
        </w:rPr>
        <w:t>AG-2 area</w:t>
      </w:r>
      <w:r w:rsidR="003211E3" w:rsidRPr="0024490A">
        <w:rPr>
          <w:rFonts w:cstheme="minorHAnsi"/>
        </w:rPr>
        <w:t xml:space="preserve"> from the existing parcel</w:t>
      </w:r>
      <w:r w:rsidR="00F25CF6">
        <w:rPr>
          <w:rFonts w:cstheme="minorHAnsi"/>
        </w:rPr>
        <w:t>.</w:t>
      </w:r>
    </w:p>
    <w:p w14:paraId="33C192BE" w14:textId="1E4B8B77" w:rsidR="00DE09B0" w:rsidRPr="0024490A" w:rsidRDefault="0015780B" w:rsidP="00DE09B0">
      <w:pPr>
        <w:pStyle w:val="ListParagraph"/>
        <w:numPr>
          <w:ilvl w:val="0"/>
          <w:numId w:val="19"/>
        </w:numPr>
        <w:rPr>
          <w:rFonts w:cstheme="minorHAnsi"/>
        </w:rPr>
      </w:pPr>
      <w:r w:rsidRPr="0024490A">
        <w:rPr>
          <w:rFonts w:cstheme="minorHAnsi"/>
        </w:rPr>
        <w:t>O</w:t>
      </w:r>
      <w:r w:rsidR="003211E3" w:rsidRPr="0024490A">
        <w:rPr>
          <w:rFonts w:cstheme="minorHAnsi"/>
        </w:rPr>
        <w:t>btain</w:t>
      </w:r>
      <w:r w:rsidR="0045700D" w:rsidRPr="0024490A">
        <w:rPr>
          <w:rFonts w:cstheme="minorHAnsi"/>
        </w:rPr>
        <w:t xml:space="preserve"> a Use Permit to allow </w:t>
      </w:r>
      <w:r w:rsidRPr="0024490A">
        <w:rPr>
          <w:rFonts w:cstheme="minorHAnsi"/>
        </w:rPr>
        <w:t>their business</w:t>
      </w:r>
      <w:r w:rsidR="0045700D" w:rsidRPr="0024490A">
        <w:rPr>
          <w:rFonts w:cstheme="minorHAnsi"/>
        </w:rPr>
        <w:t xml:space="preserve"> </w:t>
      </w:r>
      <w:r w:rsidR="003211E3" w:rsidRPr="0024490A">
        <w:rPr>
          <w:rFonts w:cstheme="minorHAnsi"/>
        </w:rPr>
        <w:t>on this 40-acres</w:t>
      </w:r>
      <w:r w:rsidR="00F25CF6">
        <w:rPr>
          <w:rFonts w:cstheme="minorHAnsi"/>
        </w:rPr>
        <w:t>.</w:t>
      </w:r>
    </w:p>
    <w:p w14:paraId="5B0ADC7C" w14:textId="533215DE" w:rsidR="0045700D" w:rsidRPr="0024490A" w:rsidRDefault="004660F1" w:rsidP="00DE09B0">
      <w:pPr>
        <w:pStyle w:val="ListParagraph"/>
        <w:numPr>
          <w:ilvl w:val="0"/>
          <w:numId w:val="19"/>
        </w:numPr>
        <w:rPr>
          <w:rFonts w:cstheme="minorHAnsi"/>
        </w:rPr>
      </w:pPr>
      <w:r w:rsidRPr="0024490A">
        <w:rPr>
          <w:rFonts w:cstheme="minorHAnsi"/>
        </w:rPr>
        <w:t>C</w:t>
      </w:r>
      <w:r w:rsidR="003211E3" w:rsidRPr="0024490A">
        <w:rPr>
          <w:rFonts w:cstheme="minorHAnsi"/>
        </w:rPr>
        <w:t>ancel the Williamson Act Contract on these 40-acres</w:t>
      </w:r>
      <w:r w:rsidR="00F25CF6">
        <w:rPr>
          <w:rFonts w:cstheme="minorHAnsi"/>
        </w:rPr>
        <w:t>.</w:t>
      </w:r>
    </w:p>
    <w:p w14:paraId="08DC9A3E" w14:textId="77777777" w:rsidR="00FE7986" w:rsidRPr="0024490A" w:rsidRDefault="009003E7" w:rsidP="004660F1">
      <w:pPr>
        <w:spacing w:after="0"/>
        <w:ind w:left="1440" w:hanging="1440"/>
        <w:rPr>
          <w:rFonts w:cstheme="minorHAnsi"/>
        </w:rPr>
      </w:pPr>
      <w:r w:rsidRPr="0024490A">
        <w:rPr>
          <w:rFonts w:cstheme="minorHAnsi"/>
        </w:rPr>
        <w:t>Option 3</w:t>
      </w:r>
      <w:r w:rsidR="004660F1" w:rsidRPr="0024490A">
        <w:rPr>
          <w:rFonts w:cstheme="minorHAnsi"/>
        </w:rPr>
        <w:t xml:space="preserve">. </w:t>
      </w:r>
      <w:r w:rsidR="004660F1" w:rsidRPr="0024490A">
        <w:rPr>
          <w:rFonts w:cstheme="minorHAnsi"/>
        </w:rPr>
        <w:tab/>
      </w:r>
    </w:p>
    <w:p w14:paraId="2462D86C" w14:textId="10FE5A58" w:rsidR="00DE09B0" w:rsidRPr="0024490A" w:rsidRDefault="004660F1" w:rsidP="004660F1">
      <w:pPr>
        <w:spacing w:after="0"/>
        <w:ind w:left="1440" w:hanging="1440"/>
        <w:rPr>
          <w:rFonts w:cstheme="minorHAnsi"/>
        </w:rPr>
      </w:pPr>
      <w:r w:rsidRPr="0024490A">
        <w:rPr>
          <w:rFonts w:cstheme="minorHAnsi"/>
        </w:rPr>
        <w:t>Apply with the County to</w:t>
      </w:r>
      <w:r w:rsidR="009003E7" w:rsidRPr="0024490A">
        <w:rPr>
          <w:rFonts w:cstheme="minorHAnsi"/>
        </w:rPr>
        <w:t xml:space="preserve"> -</w:t>
      </w:r>
      <w:r w:rsidR="009003E7" w:rsidRPr="0024490A">
        <w:rPr>
          <w:rFonts w:cstheme="minorHAnsi"/>
        </w:rPr>
        <w:tab/>
      </w:r>
    </w:p>
    <w:p w14:paraId="28336D30" w14:textId="437DC3FC" w:rsidR="00DE09B0" w:rsidRPr="0024490A" w:rsidRDefault="009003E7" w:rsidP="00DE09B0">
      <w:pPr>
        <w:pStyle w:val="ListParagraph"/>
        <w:numPr>
          <w:ilvl w:val="0"/>
          <w:numId w:val="20"/>
        </w:numPr>
        <w:rPr>
          <w:rFonts w:cstheme="minorHAnsi"/>
        </w:rPr>
      </w:pPr>
      <w:r w:rsidRPr="0024490A">
        <w:rPr>
          <w:rFonts w:cstheme="minorHAnsi"/>
        </w:rPr>
        <w:t>Cancel the contract</w:t>
      </w:r>
      <w:r w:rsidR="00141916" w:rsidRPr="0024490A">
        <w:rPr>
          <w:rFonts w:cstheme="minorHAnsi"/>
        </w:rPr>
        <w:t xml:space="preserve"> for the entire parcel on which the business is located</w:t>
      </w:r>
      <w:r w:rsidR="00F25CF6">
        <w:rPr>
          <w:rFonts w:cstheme="minorHAnsi"/>
        </w:rPr>
        <w:t>.</w:t>
      </w:r>
    </w:p>
    <w:p w14:paraId="417FBBA5" w14:textId="4AD46852" w:rsidR="00DE09B0" w:rsidRPr="0024490A" w:rsidRDefault="004660F1" w:rsidP="00DE09B0">
      <w:pPr>
        <w:pStyle w:val="ListParagraph"/>
        <w:numPr>
          <w:ilvl w:val="0"/>
          <w:numId w:val="20"/>
        </w:numPr>
        <w:rPr>
          <w:rFonts w:cstheme="minorHAnsi"/>
        </w:rPr>
      </w:pPr>
      <w:r w:rsidRPr="0024490A">
        <w:rPr>
          <w:rFonts w:cstheme="minorHAnsi"/>
        </w:rPr>
        <w:t>R</w:t>
      </w:r>
      <w:r w:rsidR="00141916" w:rsidRPr="0024490A">
        <w:rPr>
          <w:rFonts w:cstheme="minorHAnsi"/>
        </w:rPr>
        <w:t xml:space="preserve">ezone the area where the business is </w:t>
      </w:r>
      <w:r w:rsidRPr="0024490A">
        <w:rPr>
          <w:rFonts w:cstheme="minorHAnsi"/>
        </w:rPr>
        <w:t>from AG-1 to AG-2</w:t>
      </w:r>
      <w:r w:rsidR="00F25CF6">
        <w:rPr>
          <w:rFonts w:cstheme="minorHAnsi"/>
        </w:rPr>
        <w:t>.</w:t>
      </w:r>
    </w:p>
    <w:p w14:paraId="5E095C0F" w14:textId="684CACB6" w:rsidR="009003E7" w:rsidRPr="0024490A" w:rsidRDefault="004660F1" w:rsidP="00DE09B0">
      <w:pPr>
        <w:pStyle w:val="ListParagraph"/>
        <w:numPr>
          <w:ilvl w:val="0"/>
          <w:numId w:val="20"/>
        </w:numPr>
        <w:rPr>
          <w:rFonts w:cstheme="minorHAnsi"/>
        </w:rPr>
      </w:pPr>
      <w:r w:rsidRPr="0024490A">
        <w:rPr>
          <w:rFonts w:cstheme="minorHAnsi"/>
        </w:rPr>
        <w:t>O</w:t>
      </w:r>
      <w:r w:rsidR="00141916" w:rsidRPr="0024490A">
        <w:rPr>
          <w:rFonts w:cstheme="minorHAnsi"/>
        </w:rPr>
        <w:t>btain a Use Permit.</w:t>
      </w:r>
    </w:p>
    <w:p w14:paraId="71038662" w14:textId="77777777" w:rsidR="00FE7986" w:rsidRDefault="00141916" w:rsidP="004660F1">
      <w:pPr>
        <w:spacing w:after="0"/>
        <w:ind w:left="1440" w:hanging="1440"/>
      </w:pPr>
      <w:r>
        <w:t>Option 4</w:t>
      </w:r>
      <w:r w:rsidR="004660F1">
        <w:t xml:space="preserve">. </w:t>
      </w:r>
      <w:r w:rsidR="004660F1">
        <w:tab/>
      </w:r>
    </w:p>
    <w:p w14:paraId="5ED27571" w14:textId="1215FFD0" w:rsidR="00DE09B0" w:rsidRDefault="004660F1" w:rsidP="004660F1">
      <w:pPr>
        <w:spacing w:after="0"/>
        <w:ind w:left="1440" w:hanging="1440"/>
      </w:pPr>
      <w:r>
        <w:t>Apply with the County to -</w:t>
      </w:r>
    </w:p>
    <w:p w14:paraId="2097B88B" w14:textId="51B30075" w:rsidR="00DE09B0" w:rsidRDefault="00141916" w:rsidP="00DE09B0">
      <w:pPr>
        <w:pStyle w:val="ListParagraph"/>
        <w:numPr>
          <w:ilvl w:val="0"/>
          <w:numId w:val="21"/>
        </w:numPr>
      </w:pPr>
      <w:r>
        <w:t>Cancel the contract for the entire parcel on which the business is located</w:t>
      </w:r>
      <w:r w:rsidR="00F25CF6">
        <w:t>.</w:t>
      </w:r>
    </w:p>
    <w:p w14:paraId="56893547" w14:textId="5B256D35" w:rsidR="00DE09B0" w:rsidRDefault="004660F1" w:rsidP="00DE09B0">
      <w:pPr>
        <w:pStyle w:val="ListParagraph"/>
        <w:numPr>
          <w:ilvl w:val="0"/>
          <w:numId w:val="21"/>
        </w:numPr>
      </w:pPr>
      <w:r>
        <w:t>R</w:t>
      </w:r>
      <w:r w:rsidR="00141916">
        <w:t xml:space="preserve">elocate </w:t>
      </w:r>
      <w:r>
        <w:t>the business to</w:t>
      </w:r>
      <w:r w:rsidR="00141916">
        <w:t xml:space="preserve"> </w:t>
      </w:r>
      <w:r w:rsidR="00262652">
        <w:t>an area that is zoned AG-2</w:t>
      </w:r>
      <w:r w:rsidR="00F25CF6">
        <w:t>.</w:t>
      </w:r>
    </w:p>
    <w:p w14:paraId="4FACFBBE" w14:textId="364C138E" w:rsidR="00102903" w:rsidRPr="0083172E" w:rsidRDefault="004660F1" w:rsidP="0083172E">
      <w:pPr>
        <w:pStyle w:val="ListParagraph"/>
        <w:numPr>
          <w:ilvl w:val="0"/>
          <w:numId w:val="21"/>
        </w:numPr>
      </w:pPr>
      <w:r>
        <w:t>O</w:t>
      </w:r>
      <w:r w:rsidR="00262652">
        <w:t>btain a Use Permit.</w:t>
      </w:r>
      <w:r w:rsidR="00102903" w:rsidRPr="0083172E">
        <w:rPr>
          <w:b/>
          <w:bCs/>
        </w:rPr>
        <w:br w:type="page"/>
      </w:r>
    </w:p>
    <w:p w14:paraId="59E33564" w14:textId="647DF857" w:rsidR="0042747E" w:rsidRDefault="0042747E" w:rsidP="00070254">
      <w:pPr>
        <w:spacing w:after="0"/>
        <w:rPr>
          <w:b/>
          <w:bCs/>
        </w:rPr>
      </w:pPr>
      <w:r w:rsidRPr="0042747E">
        <w:rPr>
          <w:b/>
          <w:bCs/>
        </w:rPr>
        <w:lastRenderedPageBreak/>
        <w:t>Possible Update to County Rules</w:t>
      </w:r>
    </w:p>
    <w:p w14:paraId="4F2E3DD1" w14:textId="3A429592" w:rsidR="0042747E" w:rsidRPr="00102903" w:rsidRDefault="0042747E" w:rsidP="00102903">
      <w:r w:rsidRPr="0042747E">
        <w:t>Should</w:t>
      </w:r>
      <w:r>
        <w:t xml:space="preserve"> the County consider updating the local Rules</w:t>
      </w:r>
      <w:r w:rsidR="00664C0B">
        <w:t>, t</w:t>
      </w:r>
      <w:r>
        <w:t>he board could consider the addition of a Compatible Use to allow for the processing and storage of Agricultural Commodities that have been grown or produced off site</w:t>
      </w:r>
      <w:r w:rsidR="00664C0B">
        <w:t>. Also,</w:t>
      </w:r>
      <w:r>
        <w:t xml:space="preserve"> restricting the area for this allowed use and requiring a compatibility review by the Agricultural Preserve Administrator prior to the establishment of the proposed use.</w:t>
      </w:r>
    </w:p>
    <w:p w14:paraId="22CF41E9" w14:textId="6D076157" w:rsidR="00070254" w:rsidRPr="00070254" w:rsidRDefault="00070254" w:rsidP="00070254">
      <w:pPr>
        <w:spacing w:after="0"/>
        <w:rPr>
          <w:b/>
          <w:bCs/>
          <w:u w:val="single"/>
        </w:rPr>
      </w:pPr>
      <w:r w:rsidRPr="00070254">
        <w:rPr>
          <w:b/>
          <w:bCs/>
          <w:u w:val="single"/>
        </w:rPr>
        <w:t>Contracts</w:t>
      </w:r>
    </w:p>
    <w:p w14:paraId="31AD803D" w14:textId="76C8D73C" w:rsidR="007B6288" w:rsidRPr="00111A8B" w:rsidRDefault="00AF2F80" w:rsidP="007B6288">
      <w:pPr>
        <w:rPr>
          <w:highlight w:val="yellow"/>
        </w:rPr>
      </w:pPr>
      <w:r w:rsidRPr="00291360">
        <w:t>APN</w:t>
      </w:r>
      <w:r w:rsidR="004F39AB" w:rsidRPr="00291360">
        <w:t>s</w:t>
      </w:r>
      <w:r w:rsidR="0029369A" w:rsidRPr="00291360">
        <w:t xml:space="preserve"> 010-010-630 and 010-010-660</w:t>
      </w:r>
      <w:r w:rsidRPr="00291360">
        <w:t xml:space="preserve"> are </w:t>
      </w:r>
      <w:r w:rsidR="00111A8B">
        <w:t>under Contract #73020</w:t>
      </w:r>
      <w:r w:rsidR="00A249E4">
        <w:t>. Even though there is an active code compliance case, staff</w:t>
      </w:r>
      <w:r w:rsidR="00111A8B">
        <w:t xml:space="preserve"> which staff </w:t>
      </w:r>
      <w:r w:rsidR="00A249E4">
        <w:t>would not recommend</w:t>
      </w:r>
      <w:r w:rsidR="00070254">
        <w:t xml:space="preserve"> </w:t>
      </w:r>
      <w:r w:rsidR="00262652">
        <w:t>the issuance of</w:t>
      </w:r>
      <w:r w:rsidR="00070254">
        <w:t xml:space="preserve"> a Notice of Non-Renewal </w:t>
      </w:r>
      <w:r w:rsidR="00111A8B">
        <w:t xml:space="preserve">as the owners are actively working to remedy </w:t>
      </w:r>
      <w:r w:rsidR="00A249E4">
        <w:t>the compliance issues</w:t>
      </w:r>
      <w:r w:rsidR="00070254">
        <w:t>.</w:t>
      </w:r>
    </w:p>
    <w:p w14:paraId="535D6767" w14:textId="4BEC94F8" w:rsidR="007B6288" w:rsidRPr="00291360" w:rsidRDefault="007C6DB4" w:rsidP="00703ED9">
      <w:r w:rsidRPr="00291360">
        <w:t xml:space="preserve">APN’s 010-010-550 and 002-170-270 </w:t>
      </w:r>
      <w:r w:rsidR="00111A8B">
        <w:t xml:space="preserve">are currently in the </w:t>
      </w:r>
      <w:r w:rsidR="00111A8B" w:rsidRPr="00291360">
        <w:t xml:space="preserve">Non-Renewal </w:t>
      </w:r>
      <w:r w:rsidR="00111A8B">
        <w:t xml:space="preserve">process </w:t>
      </w:r>
      <w:r w:rsidR="00111A8B" w:rsidRPr="00291360">
        <w:t xml:space="preserve">under Contract </w:t>
      </w:r>
      <w:r w:rsidR="00111A8B">
        <w:t>#</w:t>
      </w:r>
      <w:r w:rsidR="00111A8B" w:rsidRPr="00291360">
        <w:t>76033</w:t>
      </w:r>
      <w:r w:rsidR="00111A8B">
        <w:t>NR</w:t>
      </w:r>
      <w:r w:rsidR="00111A8B" w:rsidRPr="00291360">
        <w:t xml:space="preserve"> </w:t>
      </w:r>
      <w:r w:rsidR="00146824" w:rsidRPr="00291360">
        <w:t>due to the non-compliance of a</w:t>
      </w:r>
      <w:r w:rsidR="004F39AB" w:rsidRPr="00291360">
        <w:t xml:space="preserve"> separate</w:t>
      </w:r>
      <w:r w:rsidR="00146824" w:rsidRPr="00291360">
        <w:t xml:space="preserve"> property owner under the </w:t>
      </w:r>
      <w:r w:rsidR="00111A8B">
        <w:t xml:space="preserve">same </w:t>
      </w:r>
      <w:r w:rsidR="00146824" w:rsidRPr="00291360">
        <w:t>contract.</w:t>
      </w:r>
    </w:p>
    <w:p w14:paraId="13F4CF83" w14:textId="031B3E7E" w:rsidR="00680183" w:rsidRPr="00291360" w:rsidRDefault="00810B10" w:rsidP="00703ED9">
      <w:r w:rsidRPr="00291360">
        <w:rPr>
          <w:b/>
          <w:bCs/>
          <w:u w:val="single"/>
        </w:rPr>
        <w:t>Agricultural Preserve</w:t>
      </w:r>
      <w:r w:rsidRPr="00291360">
        <w:br/>
        <w:t>The subject parcels are located</w:t>
      </w:r>
      <w:r w:rsidR="00680183" w:rsidRPr="00291360">
        <w:t xml:space="preserve"> with</w:t>
      </w:r>
      <w:r w:rsidRPr="00291360">
        <w:t xml:space="preserve">in </w:t>
      </w:r>
      <w:r w:rsidR="007C47CB" w:rsidRPr="00291360">
        <w:t xml:space="preserve">two </w:t>
      </w:r>
      <w:r w:rsidR="000F4209" w:rsidRPr="00291360">
        <w:t>different</w:t>
      </w:r>
      <w:r w:rsidRPr="00291360">
        <w:t xml:space="preserve"> Agricultural Preserve</w:t>
      </w:r>
      <w:r w:rsidR="000F4209" w:rsidRPr="00291360">
        <w:t>s.</w:t>
      </w:r>
    </w:p>
    <w:p w14:paraId="62483966" w14:textId="0E5BE860" w:rsidR="007C47CB" w:rsidRPr="00291360" w:rsidRDefault="008462F4" w:rsidP="00703ED9">
      <w:r>
        <w:t>If the code enforcement issue were resolved and s</w:t>
      </w:r>
      <w:r w:rsidR="007C47CB" w:rsidRPr="00291360">
        <w:t xml:space="preserve">hould the Board approve the applicant’s request, </w:t>
      </w:r>
      <w:r w:rsidR="00B332A7" w:rsidRPr="00291360">
        <w:t>the Parsons Trust will own all of the property under one particular agricultural preserve as shown in Figure 1 of this report.</w:t>
      </w:r>
    </w:p>
    <w:p w14:paraId="0B233D78" w14:textId="3691C394" w:rsidR="00965C2D" w:rsidRPr="00291360" w:rsidRDefault="00965C2D" w:rsidP="001B60F9">
      <w:r w:rsidRPr="00291360">
        <w:rPr>
          <w:b/>
          <w:bCs/>
          <w:u w:val="single"/>
        </w:rPr>
        <w:t>Williamson Act Contract Rescission and Re-entry</w:t>
      </w:r>
      <w:r w:rsidRPr="00291360">
        <w:br/>
      </w:r>
      <w:r w:rsidR="001B60F9" w:rsidRPr="00291360">
        <w:t xml:space="preserve">APN 010-010-660 </w:t>
      </w:r>
      <w:r w:rsidR="00B332A7" w:rsidRPr="00291360">
        <w:t xml:space="preserve">and a portion of 010-010-660 </w:t>
      </w:r>
      <w:r w:rsidR="001B60F9" w:rsidRPr="00291360">
        <w:t>is under contract</w:t>
      </w:r>
      <w:r w:rsidR="00B332A7" w:rsidRPr="00291360">
        <w:t xml:space="preserve"> No. 73020</w:t>
      </w:r>
      <w:r w:rsidR="001B60F9" w:rsidRPr="00291360">
        <w:t xml:space="preserve"> as recorded in the Siskiyou County </w:t>
      </w:r>
      <w:r w:rsidR="007252C0" w:rsidRPr="00291360">
        <w:t xml:space="preserve">Official </w:t>
      </w:r>
      <w:r w:rsidR="001D2E0F" w:rsidRPr="00291360">
        <w:t>Record</w:t>
      </w:r>
      <w:r w:rsidR="007252C0" w:rsidRPr="00291360">
        <w:t>s as Document No 05-0001313 on January 24, 2005. The remainder of 010-010-660 was later included in Contract  No. 73020 by Agricultural Preserve Contract Amendment APA-00-06.</w:t>
      </w:r>
    </w:p>
    <w:p w14:paraId="20538F04" w14:textId="47392CB5" w:rsidR="00E4659A" w:rsidRPr="00291360" w:rsidRDefault="00E4659A" w:rsidP="001B60F9">
      <w:r w:rsidRPr="00291360">
        <w:t>APN 002-170-270</w:t>
      </w:r>
      <w:r w:rsidR="00AE75BC" w:rsidRPr="00291360">
        <w:t xml:space="preserve"> and 010-010-550 </w:t>
      </w:r>
      <w:r w:rsidR="002E310C" w:rsidRPr="00291360">
        <w:t xml:space="preserve">are under contract recorded </w:t>
      </w:r>
      <w:r w:rsidR="007252C0" w:rsidRPr="00291360">
        <w:t xml:space="preserve">in the Siskiyou County Official Records </w:t>
      </w:r>
      <w:r w:rsidR="002E310C" w:rsidRPr="00291360">
        <w:t>at Volume 750 Page 283</w:t>
      </w:r>
      <w:r w:rsidR="007252C0" w:rsidRPr="00291360">
        <w:t xml:space="preserve"> on February 17, 1976</w:t>
      </w:r>
      <w:r w:rsidR="002E310C" w:rsidRPr="00291360">
        <w:t>.</w:t>
      </w:r>
    </w:p>
    <w:p w14:paraId="570E5ADD" w14:textId="39CD3D7A" w:rsidR="00B70C9A" w:rsidRPr="00504F12" w:rsidRDefault="008462F4" w:rsidP="00703ED9">
      <w:r>
        <w:t>If the code enforcement issue were resolved and s</w:t>
      </w:r>
      <w:r w:rsidR="004F39AB" w:rsidRPr="00291360">
        <w:t>hould the Board approve the applicant’s request, the Parsons Trust will own all of the property under one particular Williamson Act Contract as shown in Figure 1 of this report.</w:t>
      </w:r>
    </w:p>
    <w:p w14:paraId="33E8F12A" w14:textId="654BBF18" w:rsidR="00506D54" w:rsidRPr="00291360" w:rsidRDefault="00506D54" w:rsidP="00506D54">
      <w:pPr>
        <w:jc w:val="center"/>
      </w:pPr>
      <w:r w:rsidRPr="00291360">
        <w:rPr>
          <w:noProof/>
        </w:rPr>
        <w:drawing>
          <wp:inline distT="0" distB="0" distL="0" distR="0" wp14:anchorId="4763F701" wp14:editId="4D68B35A">
            <wp:extent cx="4985173" cy="30480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8" cstate="print">
                      <a:extLst>
                        <a:ext uri="{28A0092B-C50C-407E-A947-70E740481C1C}">
                          <a14:useLocalDpi xmlns:a14="http://schemas.microsoft.com/office/drawing/2010/main" val="0"/>
                        </a:ext>
                      </a:extLst>
                    </a:blip>
                    <a:srcRect b="20876"/>
                    <a:stretch/>
                  </pic:blipFill>
                  <pic:spPr bwMode="auto">
                    <a:xfrm>
                      <a:off x="0" y="0"/>
                      <a:ext cx="5039452" cy="3081187"/>
                    </a:xfrm>
                    <a:prstGeom prst="rect">
                      <a:avLst/>
                    </a:prstGeom>
                    <a:ln>
                      <a:noFill/>
                    </a:ln>
                    <a:extLst>
                      <a:ext uri="{53640926-AAD7-44D8-BBD7-CCE9431645EC}">
                        <a14:shadowObscured xmlns:a14="http://schemas.microsoft.com/office/drawing/2010/main"/>
                      </a:ext>
                    </a:extLst>
                  </pic:spPr>
                </pic:pic>
              </a:graphicData>
            </a:graphic>
          </wp:inline>
        </w:drawing>
      </w:r>
      <w:r w:rsidRPr="00291360">
        <w:br/>
        <w:t xml:space="preserve">Figure 1: </w:t>
      </w:r>
      <w:r w:rsidR="00B70C9A" w:rsidRPr="00291360">
        <w:t>Subject Parcels</w:t>
      </w:r>
    </w:p>
    <w:bookmarkEnd w:id="0"/>
    <w:p w14:paraId="782F8B2D" w14:textId="0D42640D" w:rsidR="00BA6FF9" w:rsidRPr="00291360" w:rsidRDefault="00124746" w:rsidP="0065432F">
      <w:pPr>
        <w:pStyle w:val="Heading2"/>
        <w:rPr>
          <w:color w:val="auto"/>
        </w:rPr>
      </w:pPr>
      <w:r w:rsidRPr="00291360">
        <w:rPr>
          <w:color w:val="auto"/>
        </w:rPr>
        <w:lastRenderedPageBreak/>
        <w:t>Environmental Review</w:t>
      </w:r>
      <w:r w:rsidR="00BA6FF9" w:rsidRPr="00291360">
        <w:rPr>
          <w:color w:val="auto"/>
        </w:rPr>
        <w:t xml:space="preserve"> </w:t>
      </w:r>
    </w:p>
    <w:p w14:paraId="7AA24608" w14:textId="66D28931" w:rsidR="00F45B78" w:rsidRPr="00291360" w:rsidRDefault="001472AD" w:rsidP="0065432F">
      <w:r w:rsidRPr="00291360">
        <w:t>Staff is proposing that the proposed</w:t>
      </w:r>
      <w:r w:rsidR="00053FB1" w:rsidRPr="00291360">
        <w:t xml:space="preserve"> project be considered categorically exempt from the California Environmental Quality Act (CEQA) pursuant to CEQA Guidelines Section 15317, </w:t>
      </w:r>
      <w:r w:rsidR="00053FB1" w:rsidRPr="00291360">
        <w:rPr>
          <w:i/>
          <w:iCs/>
        </w:rPr>
        <w:t>Open Space Easements or Contracts.</w:t>
      </w:r>
      <w:r w:rsidR="00053FB1" w:rsidRPr="00291360">
        <w:t xml:space="preserve"> A Categorical Exemption implies that the project will not result in any significant adverse environmental effects. CEQA Guidelines Section 15317 specifically exempts the making and renewing of open space contracts under the Williamson Act</w:t>
      </w:r>
      <w:r w:rsidR="001555C5" w:rsidRPr="00291360">
        <w:t>, which is applicable to the subject action</w:t>
      </w:r>
      <w:r w:rsidR="00053FB1" w:rsidRPr="00291360">
        <w:t>.</w:t>
      </w:r>
    </w:p>
    <w:p w14:paraId="5FD2885E" w14:textId="7801A1CD" w:rsidR="00053FB1" w:rsidRPr="00291360" w:rsidRDefault="00053FB1" w:rsidP="0065432F">
      <w:r w:rsidRPr="00291360">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15CF83E6" w14:textId="2799AA3B" w:rsidR="00D85513" w:rsidRPr="00291360" w:rsidRDefault="00D85513" w:rsidP="0065432F">
      <w:pPr>
        <w:pStyle w:val="Heading2"/>
        <w:rPr>
          <w:color w:val="auto"/>
        </w:rPr>
      </w:pPr>
      <w:r w:rsidRPr="00291360">
        <w:rPr>
          <w:color w:val="auto"/>
        </w:rPr>
        <w:t>Comments</w:t>
      </w:r>
    </w:p>
    <w:p w14:paraId="05622FEA" w14:textId="77777777" w:rsidR="00D85513" w:rsidRPr="00291360" w:rsidRDefault="00D85513" w:rsidP="0065432F">
      <w:r w:rsidRPr="00291360">
        <w:t>Notice of the project was published and posted as required prior to the Board of Supervisors meeting and no public comment was received as of the preparation of this staff report.</w:t>
      </w:r>
    </w:p>
    <w:p w14:paraId="4F7ADF24" w14:textId="77777777" w:rsidR="00BA6FF9" w:rsidRPr="00291360" w:rsidRDefault="00124746" w:rsidP="0065432F">
      <w:pPr>
        <w:pStyle w:val="Heading2"/>
        <w:rPr>
          <w:color w:val="auto"/>
        </w:rPr>
      </w:pPr>
      <w:r w:rsidRPr="00291360">
        <w:rPr>
          <w:color w:val="auto"/>
        </w:rPr>
        <w:t>Recommended Action</w:t>
      </w:r>
    </w:p>
    <w:p w14:paraId="6550C9D7" w14:textId="049E0C94" w:rsidR="003E7E2D" w:rsidRDefault="00BA6FF9" w:rsidP="0065432F">
      <w:r w:rsidRPr="00291360">
        <w:t>Should the Board of Supervisors concur with</w:t>
      </w:r>
      <w:r w:rsidR="00053FB1" w:rsidRPr="00291360">
        <w:t xml:space="preserve"> staff’s analysis</w:t>
      </w:r>
      <w:r w:rsidR="00DE09B0">
        <w:t>, as the Zoning Code and Williamson Act Rules are currently written</w:t>
      </w:r>
      <w:r w:rsidR="001521E6" w:rsidRPr="00291360">
        <w:t xml:space="preserve">, staff recommends that the Board of Supervisors </w:t>
      </w:r>
      <w:r w:rsidR="00AA25A4" w:rsidRPr="00291360">
        <w:t xml:space="preserve">continue the public hearing to </w:t>
      </w:r>
      <w:r w:rsidR="00292752">
        <w:t xml:space="preserve">give </w:t>
      </w:r>
      <w:r w:rsidR="00AA25A4" w:rsidRPr="00291360">
        <w:t>the property owners the opportunity to return the property to compliance with County Code and the Rules for the Establishment and Administration of Agricultural Preserves and Williamson Act Contracts.</w:t>
      </w:r>
    </w:p>
    <w:p w14:paraId="3E55330D" w14:textId="473F423C" w:rsidR="00620C68" w:rsidRDefault="00620C68" w:rsidP="0065432F">
      <w:r>
        <w:t>and</w:t>
      </w:r>
    </w:p>
    <w:p w14:paraId="4665E744" w14:textId="6D5C1FEF" w:rsidR="00DE09B0" w:rsidRPr="00291360" w:rsidRDefault="00DE09B0" w:rsidP="0065432F">
      <w:r>
        <w:t>Should the Board of Supervisors wish to</w:t>
      </w:r>
      <w:r w:rsidR="003E7E2D">
        <w:t xml:space="preserve"> update the </w:t>
      </w:r>
      <w:r w:rsidR="00A40A0C">
        <w:t>County</w:t>
      </w:r>
      <w:r w:rsidR="003E7E2D">
        <w:t xml:space="preserve"> Rules to include additional compatible uses, staff recommends that the Board of Supervisors continue the public hearing to allow staff time to make recommended changes </w:t>
      </w:r>
      <w:r w:rsidR="00A40A0C">
        <w:t xml:space="preserve">to the </w:t>
      </w:r>
      <w:r w:rsidR="003E7E2D">
        <w:t xml:space="preserve">and bring the </w:t>
      </w:r>
      <w:r w:rsidR="00FE7986">
        <w:t>updated Rules</w:t>
      </w:r>
      <w:r w:rsidR="003E7E2D">
        <w:t xml:space="preserve"> to the board for </w:t>
      </w:r>
      <w:r w:rsidR="00FE7986">
        <w:t xml:space="preserve">their review and </w:t>
      </w:r>
      <w:r w:rsidR="003E7E2D">
        <w:t>approval .</w:t>
      </w:r>
    </w:p>
    <w:p w14:paraId="4A992B91" w14:textId="77777777" w:rsidR="00BA6FF9" w:rsidRPr="00291360" w:rsidRDefault="00124746" w:rsidP="0065432F">
      <w:pPr>
        <w:pStyle w:val="Heading2"/>
        <w:rPr>
          <w:color w:val="auto"/>
        </w:rPr>
      </w:pPr>
      <w:bookmarkStart w:id="1" w:name="_Hlk104989853"/>
      <w:r w:rsidRPr="00291360">
        <w:rPr>
          <w:color w:val="auto"/>
        </w:rPr>
        <w:t>Recommended Motions</w:t>
      </w:r>
    </w:p>
    <w:p w14:paraId="71294831" w14:textId="77777777" w:rsidR="00BA6FF9" w:rsidRPr="00291360" w:rsidRDefault="00BA6FF9" w:rsidP="0065432F">
      <w:r w:rsidRPr="00291360">
        <w:t>I move to take the following actions:</w:t>
      </w:r>
    </w:p>
    <w:p w14:paraId="5C24B7F5" w14:textId="45DB68E3" w:rsidR="00C72FE2" w:rsidRPr="00F25CF6" w:rsidRDefault="00B02334" w:rsidP="00B02334">
      <w:pPr>
        <w:pStyle w:val="ListParagraph"/>
        <w:numPr>
          <w:ilvl w:val="0"/>
          <w:numId w:val="8"/>
        </w:numPr>
      </w:pPr>
      <w:r w:rsidRPr="00F25CF6">
        <w:t>Direct staff to bring the proposed project to the board for consideration upon compliance with Siskiyou County code and the “Rules for the Establishment and Administration of Agricultural Preserves and Williamson Act Contracts”.</w:t>
      </w:r>
      <w:bookmarkEnd w:id="1"/>
    </w:p>
    <w:p w14:paraId="0D53B61E" w14:textId="2696B80E" w:rsidR="00F25CF6" w:rsidRPr="00F25CF6" w:rsidRDefault="00F25CF6" w:rsidP="00B02334">
      <w:pPr>
        <w:pStyle w:val="ListParagraph"/>
        <w:numPr>
          <w:ilvl w:val="0"/>
          <w:numId w:val="8"/>
        </w:numPr>
      </w:pPr>
      <w:r w:rsidRPr="00F25CF6">
        <w:t xml:space="preserve">Direct </w:t>
      </w:r>
      <w:r w:rsidR="00CF50B2">
        <w:t xml:space="preserve">staff to update the County’s Williamson Act Guidelines to better define agricultural uses and compatible uses. </w:t>
      </w:r>
    </w:p>
    <w:sectPr w:rsidR="00F25CF6" w:rsidRPr="00F25CF6"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E4F3" w14:textId="77777777" w:rsidR="00A303E5" w:rsidRDefault="00A303E5">
      <w:r>
        <w:separator/>
      </w:r>
    </w:p>
  </w:endnote>
  <w:endnote w:type="continuationSeparator" w:id="0">
    <w:p w14:paraId="32881826" w14:textId="77777777" w:rsidR="00A303E5" w:rsidRDefault="00A3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2E93D17" w:rsidR="008406F4" w:rsidRDefault="00C72FE2" w:rsidP="005F4F8E">
    <w:pPr>
      <w:pStyle w:val="Footer"/>
      <w:tabs>
        <w:tab w:val="clear" w:pos="4320"/>
        <w:tab w:val="clear" w:pos="8640"/>
        <w:tab w:val="right" w:pos="9900"/>
      </w:tabs>
    </w:pPr>
    <w:r>
      <w:t>Matthew &amp; Audrey Parsons Trust</w:t>
    </w:r>
    <w:r w:rsidR="00A53222">
      <w:t xml:space="preserve"> </w:t>
    </w:r>
    <w:r w:rsidR="00ED225C">
      <w:t>(</w:t>
    </w:r>
    <w:r w:rsidR="00A53222">
      <w:t>APA</w:t>
    </w:r>
    <w:r w:rsidR="00700CD2">
      <w:t>-</w:t>
    </w:r>
    <w:r w:rsidR="00A53222">
      <w:t>2</w:t>
    </w:r>
    <w:r>
      <w:t>2</w:t>
    </w:r>
    <w:r w:rsidR="00700CD2">
      <w:t>-</w:t>
    </w:r>
    <w:r w:rsidR="00A53222">
      <w:t>0</w:t>
    </w:r>
    <w:r w:rsidR="001555C5">
      <w:t>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07BB" w14:textId="77777777" w:rsidR="00A303E5" w:rsidRDefault="00A303E5">
      <w:r>
        <w:separator/>
      </w:r>
    </w:p>
  </w:footnote>
  <w:footnote w:type="continuationSeparator" w:id="0">
    <w:p w14:paraId="1AB3F93A" w14:textId="77777777" w:rsidR="00A303E5" w:rsidRDefault="00A3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2948"/>
    <w:multiLevelType w:val="hybridMultilevel"/>
    <w:tmpl w:val="C03E7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4960BD"/>
    <w:multiLevelType w:val="hybridMultilevel"/>
    <w:tmpl w:val="1DE0A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D1591"/>
    <w:multiLevelType w:val="hybridMultilevel"/>
    <w:tmpl w:val="015C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816A03"/>
    <w:multiLevelType w:val="hybridMultilevel"/>
    <w:tmpl w:val="8466D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2D69C0"/>
    <w:multiLevelType w:val="hybridMultilevel"/>
    <w:tmpl w:val="7B6E8A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C201D3"/>
    <w:multiLevelType w:val="hybridMultilevel"/>
    <w:tmpl w:val="4AE4A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E7E7D"/>
    <w:multiLevelType w:val="hybridMultilevel"/>
    <w:tmpl w:val="4EFED5E2"/>
    <w:lvl w:ilvl="0" w:tplc="7D384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07086"/>
    <w:multiLevelType w:val="hybridMultilevel"/>
    <w:tmpl w:val="2494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16"/>
  </w:num>
  <w:num w:numId="2" w16cid:durableId="1439182185">
    <w:abstractNumId w:val="7"/>
  </w:num>
  <w:num w:numId="3" w16cid:durableId="184245771">
    <w:abstractNumId w:val="11"/>
  </w:num>
  <w:num w:numId="4" w16cid:durableId="516697040">
    <w:abstractNumId w:val="18"/>
  </w:num>
  <w:num w:numId="5" w16cid:durableId="1485778892">
    <w:abstractNumId w:val="21"/>
  </w:num>
  <w:num w:numId="6" w16cid:durableId="1938516423">
    <w:abstractNumId w:val="15"/>
  </w:num>
  <w:num w:numId="7" w16cid:durableId="1873611017">
    <w:abstractNumId w:val="20"/>
  </w:num>
  <w:num w:numId="8" w16cid:durableId="1283489295">
    <w:abstractNumId w:val="0"/>
  </w:num>
  <w:num w:numId="9" w16cid:durableId="819884624">
    <w:abstractNumId w:val="13"/>
  </w:num>
  <w:num w:numId="10" w16cid:durableId="872183866">
    <w:abstractNumId w:val="19"/>
  </w:num>
  <w:num w:numId="11" w16cid:durableId="1779636141">
    <w:abstractNumId w:val="8"/>
  </w:num>
  <w:num w:numId="12" w16cid:durableId="426734147">
    <w:abstractNumId w:val="2"/>
  </w:num>
  <w:num w:numId="13" w16cid:durableId="873732269">
    <w:abstractNumId w:val="12"/>
  </w:num>
  <w:num w:numId="14" w16cid:durableId="1901474970">
    <w:abstractNumId w:val="5"/>
  </w:num>
  <w:num w:numId="15" w16cid:durableId="60299063">
    <w:abstractNumId w:val="14"/>
  </w:num>
  <w:num w:numId="16" w16cid:durableId="1491868280">
    <w:abstractNumId w:val="4"/>
  </w:num>
  <w:num w:numId="17" w16cid:durableId="997928236">
    <w:abstractNumId w:val="9"/>
  </w:num>
  <w:num w:numId="18" w16cid:durableId="1582829969">
    <w:abstractNumId w:val="3"/>
  </w:num>
  <w:num w:numId="19" w16cid:durableId="968097795">
    <w:abstractNumId w:val="6"/>
  </w:num>
  <w:num w:numId="20" w16cid:durableId="1426462030">
    <w:abstractNumId w:val="1"/>
  </w:num>
  <w:num w:numId="21" w16cid:durableId="119805166">
    <w:abstractNumId w:val="10"/>
  </w:num>
  <w:num w:numId="22" w16cid:durableId="233592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0254"/>
    <w:rsid w:val="00072B79"/>
    <w:rsid w:val="0007573F"/>
    <w:rsid w:val="000775DA"/>
    <w:rsid w:val="00080CB9"/>
    <w:rsid w:val="00083733"/>
    <w:rsid w:val="00083CEB"/>
    <w:rsid w:val="00085FA3"/>
    <w:rsid w:val="000A084C"/>
    <w:rsid w:val="000A6252"/>
    <w:rsid w:val="000A7472"/>
    <w:rsid w:val="000C6F15"/>
    <w:rsid w:val="000C7E47"/>
    <w:rsid w:val="000D3CCD"/>
    <w:rsid w:val="000E6CB3"/>
    <w:rsid w:val="000F28E9"/>
    <w:rsid w:val="000F4209"/>
    <w:rsid w:val="000F6CEF"/>
    <w:rsid w:val="000F6F0E"/>
    <w:rsid w:val="00102903"/>
    <w:rsid w:val="00107009"/>
    <w:rsid w:val="001100E8"/>
    <w:rsid w:val="00111A8B"/>
    <w:rsid w:val="0011207D"/>
    <w:rsid w:val="00121A09"/>
    <w:rsid w:val="00124470"/>
    <w:rsid w:val="00124596"/>
    <w:rsid w:val="00124746"/>
    <w:rsid w:val="001319F9"/>
    <w:rsid w:val="00136B0D"/>
    <w:rsid w:val="00141916"/>
    <w:rsid w:val="001426C3"/>
    <w:rsid w:val="0014513F"/>
    <w:rsid w:val="00146824"/>
    <w:rsid w:val="001472AD"/>
    <w:rsid w:val="00147823"/>
    <w:rsid w:val="00152028"/>
    <w:rsid w:val="001521E6"/>
    <w:rsid w:val="00152AEB"/>
    <w:rsid w:val="001547F6"/>
    <w:rsid w:val="001555C5"/>
    <w:rsid w:val="0015780B"/>
    <w:rsid w:val="00161F10"/>
    <w:rsid w:val="00162F61"/>
    <w:rsid w:val="00164868"/>
    <w:rsid w:val="0016631E"/>
    <w:rsid w:val="0017292F"/>
    <w:rsid w:val="0017466A"/>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F1F5A"/>
    <w:rsid w:val="001F5D33"/>
    <w:rsid w:val="001F76F3"/>
    <w:rsid w:val="00201396"/>
    <w:rsid w:val="002176AD"/>
    <w:rsid w:val="00220D28"/>
    <w:rsid w:val="00222E41"/>
    <w:rsid w:val="00230F31"/>
    <w:rsid w:val="00233F73"/>
    <w:rsid w:val="00236673"/>
    <w:rsid w:val="002418B8"/>
    <w:rsid w:val="002437EA"/>
    <w:rsid w:val="0024400C"/>
    <w:rsid w:val="0024490A"/>
    <w:rsid w:val="00244EF3"/>
    <w:rsid w:val="00250585"/>
    <w:rsid w:val="002542D4"/>
    <w:rsid w:val="00255685"/>
    <w:rsid w:val="00255FF0"/>
    <w:rsid w:val="00262652"/>
    <w:rsid w:val="00266BCD"/>
    <w:rsid w:val="0027117C"/>
    <w:rsid w:val="002756BD"/>
    <w:rsid w:val="002819CB"/>
    <w:rsid w:val="00281F83"/>
    <w:rsid w:val="00283C03"/>
    <w:rsid w:val="0028583D"/>
    <w:rsid w:val="00291360"/>
    <w:rsid w:val="00292752"/>
    <w:rsid w:val="0029369A"/>
    <w:rsid w:val="0029544A"/>
    <w:rsid w:val="002A1B5A"/>
    <w:rsid w:val="002A1D5F"/>
    <w:rsid w:val="002B79A8"/>
    <w:rsid w:val="002B7C6D"/>
    <w:rsid w:val="002C1819"/>
    <w:rsid w:val="002C5C17"/>
    <w:rsid w:val="002C6138"/>
    <w:rsid w:val="002C7CF6"/>
    <w:rsid w:val="002D3C97"/>
    <w:rsid w:val="002D416F"/>
    <w:rsid w:val="002D722D"/>
    <w:rsid w:val="002E310C"/>
    <w:rsid w:val="002E3221"/>
    <w:rsid w:val="002E4DE0"/>
    <w:rsid w:val="002E5D70"/>
    <w:rsid w:val="002F5869"/>
    <w:rsid w:val="00301FD0"/>
    <w:rsid w:val="00303249"/>
    <w:rsid w:val="00304326"/>
    <w:rsid w:val="00304738"/>
    <w:rsid w:val="003211E3"/>
    <w:rsid w:val="00322576"/>
    <w:rsid w:val="0032335B"/>
    <w:rsid w:val="00325DAD"/>
    <w:rsid w:val="00326C8B"/>
    <w:rsid w:val="00343CBA"/>
    <w:rsid w:val="00350044"/>
    <w:rsid w:val="00351B07"/>
    <w:rsid w:val="00360D79"/>
    <w:rsid w:val="00361886"/>
    <w:rsid w:val="00363622"/>
    <w:rsid w:val="003655F9"/>
    <w:rsid w:val="0037050F"/>
    <w:rsid w:val="0037153F"/>
    <w:rsid w:val="0037663B"/>
    <w:rsid w:val="00381611"/>
    <w:rsid w:val="00381695"/>
    <w:rsid w:val="003821D5"/>
    <w:rsid w:val="003837C6"/>
    <w:rsid w:val="003838A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E7E2D"/>
    <w:rsid w:val="003F6517"/>
    <w:rsid w:val="003F7B84"/>
    <w:rsid w:val="0041044A"/>
    <w:rsid w:val="004129C5"/>
    <w:rsid w:val="004218B3"/>
    <w:rsid w:val="00421C26"/>
    <w:rsid w:val="0042234E"/>
    <w:rsid w:val="004235C5"/>
    <w:rsid w:val="00423EFA"/>
    <w:rsid w:val="0042747E"/>
    <w:rsid w:val="004317FD"/>
    <w:rsid w:val="0043604A"/>
    <w:rsid w:val="00440E04"/>
    <w:rsid w:val="004414BE"/>
    <w:rsid w:val="00442A2C"/>
    <w:rsid w:val="00446544"/>
    <w:rsid w:val="004536D9"/>
    <w:rsid w:val="00456754"/>
    <w:rsid w:val="0045700D"/>
    <w:rsid w:val="00460FCC"/>
    <w:rsid w:val="00463C7B"/>
    <w:rsid w:val="0046568F"/>
    <w:rsid w:val="004660F1"/>
    <w:rsid w:val="00471638"/>
    <w:rsid w:val="004832D4"/>
    <w:rsid w:val="00492198"/>
    <w:rsid w:val="004A0E5B"/>
    <w:rsid w:val="004A1513"/>
    <w:rsid w:val="004A1B5C"/>
    <w:rsid w:val="004A4A55"/>
    <w:rsid w:val="004A7EAE"/>
    <w:rsid w:val="004B16CC"/>
    <w:rsid w:val="004B20AC"/>
    <w:rsid w:val="004B2CFD"/>
    <w:rsid w:val="004D2DCA"/>
    <w:rsid w:val="004E0EE6"/>
    <w:rsid w:val="004E5D5B"/>
    <w:rsid w:val="004F0A7F"/>
    <w:rsid w:val="004F39AB"/>
    <w:rsid w:val="00501C04"/>
    <w:rsid w:val="00501F16"/>
    <w:rsid w:val="00504F12"/>
    <w:rsid w:val="00505760"/>
    <w:rsid w:val="00506D54"/>
    <w:rsid w:val="00511F63"/>
    <w:rsid w:val="005206D2"/>
    <w:rsid w:val="00520708"/>
    <w:rsid w:val="00521DF2"/>
    <w:rsid w:val="0052253C"/>
    <w:rsid w:val="005305E6"/>
    <w:rsid w:val="0053142B"/>
    <w:rsid w:val="00532934"/>
    <w:rsid w:val="00540B2B"/>
    <w:rsid w:val="00544FB0"/>
    <w:rsid w:val="00550B1D"/>
    <w:rsid w:val="00551691"/>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0C68"/>
    <w:rsid w:val="00623249"/>
    <w:rsid w:val="00624CFB"/>
    <w:rsid w:val="00627019"/>
    <w:rsid w:val="006271FC"/>
    <w:rsid w:val="0062784B"/>
    <w:rsid w:val="00636263"/>
    <w:rsid w:val="00642DC5"/>
    <w:rsid w:val="00647692"/>
    <w:rsid w:val="00653BCC"/>
    <w:rsid w:val="0065432F"/>
    <w:rsid w:val="006554B7"/>
    <w:rsid w:val="0066249E"/>
    <w:rsid w:val="00664C0B"/>
    <w:rsid w:val="006674C3"/>
    <w:rsid w:val="0066767B"/>
    <w:rsid w:val="00674A8C"/>
    <w:rsid w:val="00677D83"/>
    <w:rsid w:val="00680183"/>
    <w:rsid w:val="006870E2"/>
    <w:rsid w:val="00697602"/>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218E3"/>
    <w:rsid w:val="007235ED"/>
    <w:rsid w:val="00725085"/>
    <w:rsid w:val="007252C0"/>
    <w:rsid w:val="007320FC"/>
    <w:rsid w:val="00734534"/>
    <w:rsid w:val="00734830"/>
    <w:rsid w:val="0074107B"/>
    <w:rsid w:val="0075325A"/>
    <w:rsid w:val="00753E7D"/>
    <w:rsid w:val="007555A5"/>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5796"/>
    <w:rsid w:val="007B6040"/>
    <w:rsid w:val="007B6288"/>
    <w:rsid w:val="007B7AE8"/>
    <w:rsid w:val="007C0756"/>
    <w:rsid w:val="007C10FE"/>
    <w:rsid w:val="007C299B"/>
    <w:rsid w:val="007C47CB"/>
    <w:rsid w:val="007C6956"/>
    <w:rsid w:val="007C6DB4"/>
    <w:rsid w:val="007C7714"/>
    <w:rsid w:val="007D1447"/>
    <w:rsid w:val="007E468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172E"/>
    <w:rsid w:val="00835D15"/>
    <w:rsid w:val="008406F4"/>
    <w:rsid w:val="00841719"/>
    <w:rsid w:val="00842DA1"/>
    <w:rsid w:val="008462F4"/>
    <w:rsid w:val="008710DA"/>
    <w:rsid w:val="00880BC3"/>
    <w:rsid w:val="00883E9A"/>
    <w:rsid w:val="00890884"/>
    <w:rsid w:val="008973BD"/>
    <w:rsid w:val="008A5CA0"/>
    <w:rsid w:val="008A6087"/>
    <w:rsid w:val="008B54FF"/>
    <w:rsid w:val="008C4183"/>
    <w:rsid w:val="008D076B"/>
    <w:rsid w:val="008F460E"/>
    <w:rsid w:val="008F5DBA"/>
    <w:rsid w:val="009003E7"/>
    <w:rsid w:val="00902942"/>
    <w:rsid w:val="0090615E"/>
    <w:rsid w:val="009140C4"/>
    <w:rsid w:val="009300D0"/>
    <w:rsid w:val="00942830"/>
    <w:rsid w:val="00950288"/>
    <w:rsid w:val="00952AA9"/>
    <w:rsid w:val="009542E7"/>
    <w:rsid w:val="00960429"/>
    <w:rsid w:val="00961534"/>
    <w:rsid w:val="00962D3A"/>
    <w:rsid w:val="00965C2D"/>
    <w:rsid w:val="00967F92"/>
    <w:rsid w:val="00971CE7"/>
    <w:rsid w:val="00982B09"/>
    <w:rsid w:val="00982C6A"/>
    <w:rsid w:val="00982EED"/>
    <w:rsid w:val="00984E41"/>
    <w:rsid w:val="00986E19"/>
    <w:rsid w:val="0099101B"/>
    <w:rsid w:val="009B085F"/>
    <w:rsid w:val="009B4B9F"/>
    <w:rsid w:val="009D060A"/>
    <w:rsid w:val="009E1CE9"/>
    <w:rsid w:val="009E6C5B"/>
    <w:rsid w:val="009E6CD7"/>
    <w:rsid w:val="009E77CF"/>
    <w:rsid w:val="009F6DF7"/>
    <w:rsid w:val="00A06D0C"/>
    <w:rsid w:val="00A15509"/>
    <w:rsid w:val="00A249E4"/>
    <w:rsid w:val="00A24AD9"/>
    <w:rsid w:val="00A303E5"/>
    <w:rsid w:val="00A30445"/>
    <w:rsid w:val="00A31D9B"/>
    <w:rsid w:val="00A37C27"/>
    <w:rsid w:val="00A40A0C"/>
    <w:rsid w:val="00A43EF5"/>
    <w:rsid w:val="00A44EE4"/>
    <w:rsid w:val="00A4699F"/>
    <w:rsid w:val="00A47749"/>
    <w:rsid w:val="00A47E46"/>
    <w:rsid w:val="00A5051B"/>
    <w:rsid w:val="00A519B8"/>
    <w:rsid w:val="00A53222"/>
    <w:rsid w:val="00A54A02"/>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15C88"/>
    <w:rsid w:val="00B30777"/>
    <w:rsid w:val="00B3310B"/>
    <w:rsid w:val="00B332A7"/>
    <w:rsid w:val="00B34E3F"/>
    <w:rsid w:val="00B45C62"/>
    <w:rsid w:val="00B472CF"/>
    <w:rsid w:val="00B55FED"/>
    <w:rsid w:val="00B56D88"/>
    <w:rsid w:val="00B57435"/>
    <w:rsid w:val="00B60F43"/>
    <w:rsid w:val="00B61ED1"/>
    <w:rsid w:val="00B624EB"/>
    <w:rsid w:val="00B66A25"/>
    <w:rsid w:val="00B70C9A"/>
    <w:rsid w:val="00B77119"/>
    <w:rsid w:val="00B87F88"/>
    <w:rsid w:val="00B90DDF"/>
    <w:rsid w:val="00B968A8"/>
    <w:rsid w:val="00BA0BDC"/>
    <w:rsid w:val="00BA4032"/>
    <w:rsid w:val="00BA6FF9"/>
    <w:rsid w:val="00BB010E"/>
    <w:rsid w:val="00BB2C51"/>
    <w:rsid w:val="00BB4531"/>
    <w:rsid w:val="00BB70F1"/>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7D50"/>
    <w:rsid w:val="00C63A6F"/>
    <w:rsid w:val="00C644FF"/>
    <w:rsid w:val="00C72FE2"/>
    <w:rsid w:val="00C731C8"/>
    <w:rsid w:val="00C75339"/>
    <w:rsid w:val="00C7590F"/>
    <w:rsid w:val="00C76A6F"/>
    <w:rsid w:val="00C87E98"/>
    <w:rsid w:val="00C917D7"/>
    <w:rsid w:val="00C928C1"/>
    <w:rsid w:val="00C9556D"/>
    <w:rsid w:val="00CA2B9D"/>
    <w:rsid w:val="00CA2D63"/>
    <w:rsid w:val="00CA5A46"/>
    <w:rsid w:val="00CC3E8E"/>
    <w:rsid w:val="00CC3F79"/>
    <w:rsid w:val="00CC468F"/>
    <w:rsid w:val="00CC6E3A"/>
    <w:rsid w:val="00CC7D84"/>
    <w:rsid w:val="00CD0276"/>
    <w:rsid w:val="00CD4D44"/>
    <w:rsid w:val="00CF1E00"/>
    <w:rsid w:val="00CF50B2"/>
    <w:rsid w:val="00D1203C"/>
    <w:rsid w:val="00D15771"/>
    <w:rsid w:val="00D16E17"/>
    <w:rsid w:val="00D2110F"/>
    <w:rsid w:val="00D4685B"/>
    <w:rsid w:val="00D474C0"/>
    <w:rsid w:val="00D47A96"/>
    <w:rsid w:val="00D47DC4"/>
    <w:rsid w:val="00D53670"/>
    <w:rsid w:val="00D55A80"/>
    <w:rsid w:val="00D66376"/>
    <w:rsid w:val="00D66D8D"/>
    <w:rsid w:val="00D735A0"/>
    <w:rsid w:val="00D83622"/>
    <w:rsid w:val="00D85513"/>
    <w:rsid w:val="00D863B3"/>
    <w:rsid w:val="00DB0195"/>
    <w:rsid w:val="00DB55EC"/>
    <w:rsid w:val="00DC635A"/>
    <w:rsid w:val="00DD6F5E"/>
    <w:rsid w:val="00DE09B0"/>
    <w:rsid w:val="00DE0BA6"/>
    <w:rsid w:val="00DE0E7D"/>
    <w:rsid w:val="00DE31B5"/>
    <w:rsid w:val="00DE3558"/>
    <w:rsid w:val="00DE56F8"/>
    <w:rsid w:val="00DE79A1"/>
    <w:rsid w:val="00E01B56"/>
    <w:rsid w:val="00E05E37"/>
    <w:rsid w:val="00E10AF4"/>
    <w:rsid w:val="00E1100D"/>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7768A"/>
    <w:rsid w:val="00E80353"/>
    <w:rsid w:val="00E8211D"/>
    <w:rsid w:val="00E82F2A"/>
    <w:rsid w:val="00E86EC2"/>
    <w:rsid w:val="00E873B6"/>
    <w:rsid w:val="00E879D8"/>
    <w:rsid w:val="00E94610"/>
    <w:rsid w:val="00E946A1"/>
    <w:rsid w:val="00E95E41"/>
    <w:rsid w:val="00E9665F"/>
    <w:rsid w:val="00E9714D"/>
    <w:rsid w:val="00EA0A79"/>
    <w:rsid w:val="00EA0E32"/>
    <w:rsid w:val="00EA3D47"/>
    <w:rsid w:val="00EB0007"/>
    <w:rsid w:val="00EB0B5D"/>
    <w:rsid w:val="00EC22ED"/>
    <w:rsid w:val="00EC25BF"/>
    <w:rsid w:val="00EC499C"/>
    <w:rsid w:val="00EC553B"/>
    <w:rsid w:val="00EC7231"/>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25CF6"/>
    <w:rsid w:val="00F338A2"/>
    <w:rsid w:val="00F34DB3"/>
    <w:rsid w:val="00F37A72"/>
    <w:rsid w:val="00F40AD3"/>
    <w:rsid w:val="00F451E7"/>
    <w:rsid w:val="00F45B78"/>
    <w:rsid w:val="00F465C2"/>
    <w:rsid w:val="00F53722"/>
    <w:rsid w:val="00F54981"/>
    <w:rsid w:val="00F551D4"/>
    <w:rsid w:val="00F651B6"/>
    <w:rsid w:val="00F6593A"/>
    <w:rsid w:val="00F65E27"/>
    <w:rsid w:val="00F72010"/>
    <w:rsid w:val="00F72391"/>
    <w:rsid w:val="00F807FD"/>
    <w:rsid w:val="00F83D17"/>
    <w:rsid w:val="00F8658B"/>
    <w:rsid w:val="00F86687"/>
    <w:rsid w:val="00F86C9F"/>
    <w:rsid w:val="00FA0C52"/>
    <w:rsid w:val="00FA3BFF"/>
    <w:rsid w:val="00FB4E3B"/>
    <w:rsid w:val="00FC2CD1"/>
    <w:rsid w:val="00FD15AB"/>
    <w:rsid w:val="00FE4A08"/>
    <w:rsid w:val="00FE798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3172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4E0EE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0EE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0EE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0EE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4E0EE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4E0EE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0EE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0EE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0EE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317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172E"/>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4E0EE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4E0EE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4E0EE6"/>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0EE6"/>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0EE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0EE6"/>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4E0EE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EE6"/>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4E0EE6"/>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4E0EE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EE6"/>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4E0EE6"/>
    <w:rPr>
      <w:i/>
      <w:iCs/>
    </w:rPr>
  </w:style>
  <w:style w:type="character" w:styleId="Strong">
    <w:name w:val="Strong"/>
    <w:basedOn w:val="DefaultParagraphFont"/>
    <w:uiPriority w:val="22"/>
    <w:qFormat/>
    <w:rsid w:val="004E0EE6"/>
    <w:rPr>
      <w:b/>
      <w:bCs/>
    </w:rPr>
  </w:style>
  <w:style w:type="character" w:styleId="IntenseEmphasis">
    <w:name w:val="Intense Emphasis"/>
    <w:basedOn w:val="DefaultParagraphFont"/>
    <w:uiPriority w:val="21"/>
    <w:qFormat/>
    <w:rsid w:val="004E0EE6"/>
    <w:rPr>
      <w:b/>
      <w:bCs/>
      <w:i/>
      <w:iCs/>
    </w:rPr>
  </w:style>
  <w:style w:type="paragraph" w:styleId="Quote">
    <w:name w:val="Quote"/>
    <w:basedOn w:val="Normal"/>
    <w:next w:val="Normal"/>
    <w:link w:val="QuoteChar"/>
    <w:uiPriority w:val="29"/>
    <w:qFormat/>
    <w:rsid w:val="004E0EE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EE6"/>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4E0EE6"/>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4E0EE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0EE6"/>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4E0EE6"/>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4E0EE6"/>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4E0EE6"/>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4E0EE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4E0EE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0EE6"/>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4E0EE6"/>
    <w:rPr>
      <w:smallCaps/>
      <w:color w:val="595959" w:themeColor="text1" w:themeTint="A6"/>
    </w:rPr>
  </w:style>
  <w:style w:type="character" w:styleId="BookTitle">
    <w:name w:val="Book Title"/>
    <w:basedOn w:val="DefaultParagraphFont"/>
    <w:uiPriority w:val="33"/>
    <w:qFormat/>
    <w:rsid w:val="004E0EE6"/>
    <w:rPr>
      <w:b/>
      <w:bCs/>
      <w:caps w:val="0"/>
      <w:smallCaps/>
      <w:spacing w:val="7"/>
      <w:sz w:val="21"/>
      <w:szCs w:val="21"/>
    </w:rPr>
  </w:style>
  <w:style w:type="paragraph" w:styleId="TOCHeading">
    <w:name w:val="TOC Heading"/>
    <w:basedOn w:val="Heading1"/>
    <w:next w:val="Normal"/>
    <w:uiPriority w:val="39"/>
    <w:semiHidden/>
    <w:unhideWhenUsed/>
    <w:qFormat/>
    <w:rsid w:val="004E0EE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14319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1537</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2022-07-26T15:55:00Z</dcterms:created>
  <dcterms:modified xsi:type="dcterms:W3CDTF">2022-07-26T16:01:00Z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