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06AD" w14:textId="77777777" w:rsidR="00F24EB0" w:rsidRPr="000A06B4" w:rsidRDefault="00F24EB0" w:rsidP="00F24EB0">
      <w:pPr>
        <w:spacing w:after="159" w:line="258" w:lineRule="auto"/>
        <w:ind w:left="12" w:right="1"/>
        <w:jc w:val="center"/>
        <w:rPr>
          <w:rFonts w:ascii="Arial" w:hAnsi="Arial" w:cs="Arial"/>
        </w:rPr>
      </w:pPr>
      <w:bookmarkStart w:id="0" w:name="_GoBack"/>
      <w:bookmarkEnd w:id="0"/>
      <w:r w:rsidRPr="000A06B4">
        <w:rPr>
          <w:rFonts w:ascii="Arial" w:hAnsi="Arial" w:cs="Arial"/>
          <w:b/>
        </w:rPr>
        <w:t xml:space="preserve">EXHIBIT A </w:t>
      </w:r>
      <w:r>
        <w:rPr>
          <w:rFonts w:ascii="Arial" w:hAnsi="Arial" w:cs="Arial"/>
          <w:b/>
        </w:rPr>
        <w:t>–</w:t>
      </w:r>
      <w:r w:rsidRPr="000A06B4">
        <w:rPr>
          <w:rFonts w:ascii="Arial" w:hAnsi="Arial" w:cs="Arial"/>
          <w:b/>
        </w:rPr>
        <w:t xml:space="preserve"> </w:t>
      </w:r>
      <w:r>
        <w:rPr>
          <w:rFonts w:ascii="Arial" w:hAnsi="Arial" w:cs="Arial"/>
          <w:b/>
        </w:rPr>
        <w:t xml:space="preserve">MOU </w:t>
      </w:r>
      <w:r w:rsidRPr="000A06B4">
        <w:rPr>
          <w:rFonts w:ascii="Arial" w:hAnsi="Arial" w:cs="Arial"/>
          <w:b/>
        </w:rPr>
        <w:t>SCOPE OF ACTIVITIES</w:t>
      </w:r>
    </w:p>
    <w:p w14:paraId="4613AFF1" w14:textId="22C4E721" w:rsidR="00F24EB0" w:rsidRPr="000A06B4" w:rsidRDefault="0C17D7DD" w:rsidP="00F24EB0">
      <w:pPr>
        <w:spacing w:after="155"/>
        <w:ind w:left="-5"/>
        <w:rPr>
          <w:rFonts w:ascii="Arial" w:hAnsi="Arial" w:cs="Arial"/>
        </w:rPr>
      </w:pPr>
      <w:r w:rsidRPr="3B34C801">
        <w:rPr>
          <w:rFonts w:ascii="Arial" w:hAnsi="Arial" w:cs="Arial"/>
        </w:rPr>
        <w:t>The activity listed below relating to the County of Siskiyou’s Edible Food Recovery Program will be conducted by the County and the Cities.</w:t>
      </w:r>
    </w:p>
    <w:p w14:paraId="4394819F" w14:textId="77777777" w:rsidR="00F24EB0" w:rsidRPr="000A06B4" w:rsidRDefault="00F24EB0" w:rsidP="00F24EB0">
      <w:pPr>
        <w:spacing w:after="155"/>
        <w:ind w:left="-5"/>
        <w:rPr>
          <w:rFonts w:ascii="Arial" w:hAnsi="Arial" w:cs="Arial"/>
        </w:rPr>
      </w:pPr>
      <w:r w:rsidRPr="000A06B4">
        <w:rPr>
          <w:rFonts w:ascii="Arial" w:hAnsi="Arial" w:cs="Arial"/>
        </w:rPr>
        <w:t>The Counties wil</w:t>
      </w:r>
      <w:r>
        <w:rPr>
          <w:rFonts w:ascii="Arial" w:hAnsi="Arial" w:cs="Arial"/>
        </w:rPr>
        <w:t>l:</w:t>
      </w:r>
    </w:p>
    <w:p w14:paraId="5C6A87B7" w14:textId="77777777" w:rsidR="00F24EB0" w:rsidRPr="00A304DF" w:rsidRDefault="00F24EB0" w:rsidP="00F24EB0">
      <w:pPr>
        <w:pStyle w:val="Heading1"/>
        <w:spacing w:after="188"/>
        <w:ind w:left="-5"/>
        <w:rPr>
          <w:rFonts w:ascii="Arial" w:hAnsi="Arial" w:cs="Arial"/>
          <w:szCs w:val="24"/>
          <w:u w:val="none"/>
        </w:rPr>
      </w:pPr>
      <w:r w:rsidRPr="00A304DF">
        <w:rPr>
          <w:rFonts w:ascii="Arial" w:hAnsi="Arial" w:cs="Arial"/>
          <w:szCs w:val="24"/>
          <w:u w:val="none"/>
        </w:rPr>
        <w:t>I. Establishment</w:t>
      </w:r>
    </w:p>
    <w:p w14:paraId="6441868D" w14:textId="49035624" w:rsidR="00F24EB0" w:rsidRPr="000A06B4" w:rsidRDefault="0C17D7DD" w:rsidP="00F24EB0">
      <w:pPr>
        <w:spacing w:after="154"/>
        <w:rPr>
          <w:rFonts w:ascii="Arial" w:hAnsi="Arial" w:cs="Arial"/>
        </w:rPr>
      </w:pPr>
      <w:r w:rsidRPr="3B34C801">
        <w:rPr>
          <w:rFonts w:ascii="Arial" w:hAnsi="Arial" w:cs="Arial"/>
        </w:rPr>
        <w:t xml:space="preserve">The County will develop and coordinate a standardized and uniform Siskiyou Countywide Edible Food Recovery Program consistent with and compliant to California Code of Regulations, Title 14, Division 7, Chapter 12 Short-Lived Climate Pollutants. The program will operate within </w:t>
      </w:r>
      <w:r w:rsidRPr="3B34C801">
        <w:rPr>
          <w:rFonts w:ascii="Arial" w:eastAsia="Arial" w:hAnsi="Arial" w:cs="Arial"/>
        </w:rPr>
        <w:t xml:space="preserve">the cities of Dunsmuir, Weed, Mt. Shasta, Yreka, Montague, Fort Jones, Etna, </w:t>
      </w:r>
      <w:proofErr w:type="spellStart"/>
      <w:r w:rsidRPr="3B34C801">
        <w:rPr>
          <w:rFonts w:ascii="Arial" w:eastAsia="Arial" w:hAnsi="Arial" w:cs="Arial"/>
        </w:rPr>
        <w:t>Dorris</w:t>
      </w:r>
      <w:proofErr w:type="spellEnd"/>
      <w:r w:rsidRPr="3B34C801">
        <w:rPr>
          <w:rFonts w:ascii="Arial" w:eastAsia="Arial" w:hAnsi="Arial" w:cs="Arial"/>
        </w:rPr>
        <w:t xml:space="preserve"> and </w:t>
      </w:r>
      <w:proofErr w:type="spellStart"/>
      <w:r w:rsidRPr="3B34C801">
        <w:rPr>
          <w:rFonts w:ascii="Arial" w:eastAsia="Arial" w:hAnsi="Arial" w:cs="Arial"/>
        </w:rPr>
        <w:t>Tulelake</w:t>
      </w:r>
      <w:proofErr w:type="spellEnd"/>
      <w:r w:rsidRPr="3B34C801">
        <w:rPr>
          <w:rFonts w:ascii="Arial" w:eastAsia="Arial" w:hAnsi="Arial" w:cs="Arial"/>
        </w:rPr>
        <w:t xml:space="preserve"> </w:t>
      </w:r>
      <w:r w:rsidRPr="3B34C801">
        <w:rPr>
          <w:rFonts w:ascii="Arial" w:hAnsi="Arial" w:cs="Arial"/>
        </w:rPr>
        <w:t xml:space="preserve">and boundaries and will replace the need for these jurisdictions to create such a program on their own. This program will operate in the unincorporated areas of the county as well as the jurisdictions in the county agreeing to the MOU. </w:t>
      </w:r>
    </w:p>
    <w:p w14:paraId="7E66E6E3" w14:textId="77777777" w:rsidR="00F24EB0" w:rsidRPr="000A06B4" w:rsidRDefault="00F24EB0" w:rsidP="00F24EB0">
      <w:pPr>
        <w:pStyle w:val="TabbedL3"/>
        <w:numPr>
          <w:ilvl w:val="0"/>
          <w:numId w:val="0"/>
        </w:numPr>
        <w:rPr>
          <w:rFonts w:ascii="Arial" w:hAnsi="Arial" w:cs="Arial"/>
          <w:szCs w:val="24"/>
        </w:rPr>
      </w:pPr>
      <w:r w:rsidRPr="000A06B4">
        <w:rPr>
          <w:rFonts w:ascii="Arial" w:hAnsi="Arial" w:cs="Arial"/>
          <w:b/>
          <w:bCs/>
          <w:szCs w:val="24"/>
        </w:rPr>
        <w:t>II. Notification of Commercial Edible Food Generators of the Requirements</w:t>
      </w:r>
    </w:p>
    <w:p w14:paraId="5FE7F784" w14:textId="77777777" w:rsidR="00F24EB0" w:rsidRDefault="00F24EB0" w:rsidP="00F24EB0">
      <w:pPr>
        <w:pStyle w:val="TabbedL3"/>
        <w:numPr>
          <w:ilvl w:val="0"/>
          <w:numId w:val="0"/>
        </w:numPr>
        <w:rPr>
          <w:rFonts w:ascii="Arial" w:hAnsi="Arial" w:cs="Arial"/>
          <w:szCs w:val="24"/>
        </w:rPr>
      </w:pPr>
      <w:r w:rsidRPr="000A06B4">
        <w:rPr>
          <w:rFonts w:ascii="Arial" w:hAnsi="Arial" w:cs="Arial"/>
          <w:szCs w:val="24"/>
        </w:rPr>
        <w:t xml:space="preserve">Through email, letters, or other direct or electronic communication, the County shall annually notify Tier I and II Commercial Edible Food Generators within each Jurisdiction of their food recovery requirements as established pursuant to Section 18991.3 and 18991.4 of the Regulations. Such notification shall include website information to assist in compliance with the applicable food recovery requirements. </w:t>
      </w:r>
    </w:p>
    <w:p w14:paraId="49E56759" w14:textId="77777777" w:rsidR="00F24EB0" w:rsidRPr="00A304DF" w:rsidRDefault="00F24EB0" w:rsidP="00F24EB0">
      <w:pPr>
        <w:pStyle w:val="TabbedL3"/>
        <w:numPr>
          <w:ilvl w:val="0"/>
          <w:numId w:val="0"/>
        </w:numPr>
        <w:rPr>
          <w:rFonts w:ascii="Arial" w:hAnsi="Arial" w:cs="Arial"/>
          <w:szCs w:val="24"/>
        </w:rPr>
      </w:pPr>
      <w:r w:rsidRPr="000A06B4">
        <w:rPr>
          <w:rFonts w:ascii="Arial" w:hAnsi="Arial" w:cs="Arial"/>
          <w:b/>
          <w:szCs w:val="24"/>
        </w:rPr>
        <w:t xml:space="preserve">III. Inspections of Commercial Edible Food Generators. </w:t>
      </w:r>
    </w:p>
    <w:p w14:paraId="37347FD7" w14:textId="77777777" w:rsidR="00F24EB0" w:rsidRPr="000A06B4" w:rsidRDefault="00F24EB0" w:rsidP="00F24EB0">
      <w:pPr>
        <w:pStyle w:val="TabbedL2"/>
        <w:numPr>
          <w:ilvl w:val="0"/>
          <w:numId w:val="0"/>
        </w:numPr>
        <w:tabs>
          <w:tab w:val="left" w:pos="0"/>
        </w:tabs>
        <w:rPr>
          <w:rFonts w:ascii="Arial" w:hAnsi="Arial" w:cs="Arial"/>
          <w:szCs w:val="24"/>
        </w:rPr>
      </w:pPr>
      <w:r w:rsidRPr="000A06B4">
        <w:rPr>
          <w:rFonts w:ascii="Arial" w:hAnsi="Arial" w:cs="Arial"/>
          <w:szCs w:val="24"/>
        </w:rPr>
        <w:t xml:space="preserve">Beginning January 1, 2022, the County or its designee shall conduct annual inspections of Tier One Edible Food Generators, food recovery organizations, and food recovery services within the County in a manner as necessary to comply with the requirements of Section 18995.1(a)(2) for the Cities.  The County or its designee may conduct inspections of a random sampling of food recovery entities or prioritize inspections of entities that it determines are more likely to be out of compliance, provided that such manner of selection shall satisfy the requirements of the Regulations. Beginning January 1, 2024, the County or its designee shall additionally conduct annual inspections of Tier Two Edible Food Generators within the County in a manner as necessary to comply with the requirements of Section 18995.2(a)(2) for the Cities.  The County may adjust the frequency or number of inspections from time to time if required by </w:t>
      </w:r>
      <w:proofErr w:type="spellStart"/>
      <w:r w:rsidRPr="000A06B4">
        <w:rPr>
          <w:rFonts w:ascii="Arial" w:hAnsi="Arial" w:cs="Arial"/>
          <w:szCs w:val="24"/>
        </w:rPr>
        <w:t>CalRecycle</w:t>
      </w:r>
      <w:proofErr w:type="spellEnd"/>
      <w:r w:rsidRPr="000A06B4">
        <w:rPr>
          <w:rFonts w:ascii="Arial" w:hAnsi="Arial" w:cs="Arial"/>
          <w:szCs w:val="24"/>
        </w:rPr>
        <w:t>.</w:t>
      </w:r>
    </w:p>
    <w:p w14:paraId="16BB097F" w14:textId="77777777" w:rsidR="00F24EB0" w:rsidRPr="000A06B4" w:rsidRDefault="00F24EB0" w:rsidP="00F24EB0">
      <w:pPr>
        <w:pStyle w:val="TabbedL2"/>
        <w:keepNext/>
        <w:numPr>
          <w:ilvl w:val="0"/>
          <w:numId w:val="0"/>
        </w:numPr>
        <w:rPr>
          <w:rFonts w:ascii="Arial" w:hAnsi="Arial" w:cs="Arial"/>
          <w:szCs w:val="24"/>
        </w:rPr>
      </w:pPr>
      <w:r w:rsidRPr="000A06B4">
        <w:rPr>
          <w:rFonts w:ascii="Arial" w:hAnsi="Arial" w:cs="Arial"/>
          <w:b/>
          <w:szCs w:val="24"/>
        </w:rPr>
        <w:t xml:space="preserve">IV. </w:t>
      </w:r>
      <w:r w:rsidRPr="000A06B4">
        <w:rPr>
          <w:rFonts w:ascii="Arial" w:hAnsi="Arial" w:cs="Arial"/>
          <w:b/>
          <w:szCs w:val="24"/>
        </w:rPr>
        <w:tab/>
        <w:t>Reporting and recordkeeping</w:t>
      </w:r>
      <w:r w:rsidRPr="000A06B4">
        <w:rPr>
          <w:rFonts w:ascii="Arial" w:hAnsi="Arial" w:cs="Arial"/>
          <w:szCs w:val="24"/>
        </w:rPr>
        <w:t>.</w:t>
      </w:r>
    </w:p>
    <w:p w14:paraId="2DB8F002" w14:textId="77777777" w:rsidR="00F24EB0" w:rsidRPr="000A06B4" w:rsidRDefault="00F24EB0" w:rsidP="00F24EB0">
      <w:pPr>
        <w:pStyle w:val="TabbedL3"/>
        <w:keepNext/>
        <w:numPr>
          <w:ilvl w:val="0"/>
          <w:numId w:val="0"/>
        </w:numPr>
        <w:rPr>
          <w:rFonts w:ascii="Arial" w:hAnsi="Arial" w:cs="Arial"/>
          <w:szCs w:val="24"/>
        </w:rPr>
      </w:pPr>
      <w:r w:rsidRPr="000A06B4">
        <w:rPr>
          <w:rFonts w:ascii="Arial" w:hAnsi="Arial" w:cs="Arial"/>
          <w:szCs w:val="24"/>
        </w:rPr>
        <w:t>The County shall prepare and submit the reports required pursuant to Section 18992.1 and 18992.2 on Edible Food recovery capacity planning.  The County shall submit the required reports in accordance with the schedule established in Section 18992.3.</w:t>
      </w:r>
    </w:p>
    <w:p w14:paraId="74F507EA" w14:textId="77777777" w:rsidR="00F24EB0" w:rsidRPr="000A06B4" w:rsidRDefault="00F24EB0" w:rsidP="00F24EB0">
      <w:pPr>
        <w:pStyle w:val="TabbedL3"/>
        <w:tabs>
          <w:tab w:val="num" w:pos="2070"/>
        </w:tabs>
        <w:ind w:left="720" w:firstLine="1440"/>
        <w:rPr>
          <w:rFonts w:ascii="Arial" w:hAnsi="Arial" w:cs="Arial"/>
          <w:szCs w:val="24"/>
        </w:rPr>
      </w:pPr>
      <w:r w:rsidRPr="000A06B4">
        <w:rPr>
          <w:rFonts w:ascii="Arial" w:hAnsi="Arial" w:cs="Arial"/>
          <w:szCs w:val="24"/>
        </w:rPr>
        <w:t xml:space="preserve">In conformance with Section 18995.2 of the Regulations, the County will store and maintain the Implementation Record for each of the Jurisdictions.  </w:t>
      </w:r>
    </w:p>
    <w:p w14:paraId="35FBD5A0" w14:textId="1DDDDB0B" w:rsidR="00F24EB0" w:rsidRPr="000A06B4" w:rsidRDefault="0C17D7DD" w:rsidP="3B34C801">
      <w:pPr>
        <w:pStyle w:val="TabbedL3"/>
        <w:tabs>
          <w:tab w:val="num" w:pos="2160"/>
        </w:tabs>
        <w:ind w:left="720" w:firstLine="1440"/>
        <w:rPr>
          <w:rFonts w:ascii="Arial" w:hAnsi="Arial" w:cs="Arial"/>
        </w:rPr>
      </w:pPr>
      <w:r w:rsidRPr="3B34C801">
        <w:rPr>
          <w:rFonts w:ascii="Arial" w:hAnsi="Arial" w:cs="Arial"/>
        </w:rPr>
        <w:lastRenderedPageBreak/>
        <w:t xml:space="preserve">Upon request by a </w:t>
      </w:r>
      <w:proofErr w:type="spellStart"/>
      <w:r w:rsidRPr="3B34C801">
        <w:rPr>
          <w:rFonts w:ascii="Arial" w:hAnsi="Arial" w:cs="Arial"/>
        </w:rPr>
        <w:t>CalRecycle</w:t>
      </w:r>
      <w:proofErr w:type="spellEnd"/>
      <w:r w:rsidRPr="3B34C801">
        <w:rPr>
          <w:rFonts w:ascii="Arial" w:hAnsi="Arial" w:cs="Arial"/>
        </w:rPr>
        <w:t xml:space="preserve"> representative, the County will provide access to the Implementation Record within 10 business days. In conformance with the California Public Records Act (Government Code §6250 </w:t>
      </w:r>
      <w:r w:rsidRPr="3B34C801">
        <w:rPr>
          <w:rFonts w:ascii="Arial" w:hAnsi="Arial" w:cs="Arial"/>
          <w:i/>
          <w:iCs/>
        </w:rPr>
        <w:t>et seq.</w:t>
      </w:r>
      <w:r w:rsidRPr="3B34C801">
        <w:rPr>
          <w:rFonts w:ascii="Arial" w:hAnsi="Arial" w:cs="Arial"/>
        </w:rPr>
        <w:t xml:space="preserve">), County will also respond to a request for public records contained in the Implementation Record.  County and the Cities shall each notify the other if either the County or a City receive a request for all or part of the Implementation Record and coordinate a response to such request. </w:t>
      </w:r>
    </w:p>
    <w:p w14:paraId="51A47503" w14:textId="77777777" w:rsidR="00F24EB0" w:rsidRPr="000A06B4" w:rsidRDefault="00F24EB0" w:rsidP="00F24EB0">
      <w:pPr>
        <w:pStyle w:val="TabbedL3"/>
        <w:tabs>
          <w:tab w:val="num" w:pos="2160"/>
        </w:tabs>
        <w:ind w:left="720" w:firstLine="1440"/>
        <w:rPr>
          <w:rFonts w:ascii="Arial" w:hAnsi="Arial" w:cs="Arial"/>
          <w:szCs w:val="24"/>
        </w:rPr>
      </w:pPr>
      <w:r w:rsidRPr="000A06B4">
        <w:rPr>
          <w:rFonts w:ascii="Arial" w:hAnsi="Arial" w:cs="Arial"/>
          <w:szCs w:val="24"/>
        </w:rPr>
        <w:t xml:space="preserve">The County shall prepare and submit the Initial Jurisdiction Compliance Report and Jurisdiction Annual Reports to </w:t>
      </w:r>
      <w:proofErr w:type="spellStart"/>
      <w:r w:rsidRPr="000A06B4">
        <w:rPr>
          <w:rFonts w:ascii="Arial" w:hAnsi="Arial" w:cs="Arial"/>
          <w:szCs w:val="24"/>
        </w:rPr>
        <w:t>CalRecycle</w:t>
      </w:r>
      <w:proofErr w:type="spellEnd"/>
      <w:r w:rsidRPr="000A06B4">
        <w:rPr>
          <w:rFonts w:ascii="Arial" w:hAnsi="Arial" w:cs="Arial"/>
          <w:szCs w:val="24"/>
        </w:rPr>
        <w:t xml:space="preserve"> in compliance with Sections 18994.1 and 18994.2. </w:t>
      </w:r>
    </w:p>
    <w:p w14:paraId="048506EB" w14:textId="77777777" w:rsidR="00F24EB0" w:rsidRPr="000A06B4" w:rsidRDefault="00F24EB0" w:rsidP="00F24EB0">
      <w:pPr>
        <w:pStyle w:val="TabbedL2"/>
        <w:numPr>
          <w:ilvl w:val="0"/>
          <w:numId w:val="0"/>
        </w:numPr>
        <w:rPr>
          <w:rFonts w:ascii="Arial" w:hAnsi="Arial" w:cs="Arial"/>
          <w:b/>
          <w:szCs w:val="24"/>
        </w:rPr>
      </w:pPr>
      <w:r w:rsidRPr="000A06B4">
        <w:rPr>
          <w:rFonts w:ascii="Arial" w:hAnsi="Arial" w:cs="Arial"/>
          <w:b/>
          <w:szCs w:val="24"/>
        </w:rPr>
        <w:t>V.</w:t>
      </w:r>
      <w:r w:rsidRPr="000A06B4">
        <w:rPr>
          <w:rFonts w:ascii="Arial" w:hAnsi="Arial" w:cs="Arial"/>
          <w:b/>
          <w:szCs w:val="24"/>
        </w:rPr>
        <w:tab/>
        <w:t>Edible food recovery capacity.</w:t>
      </w:r>
    </w:p>
    <w:p w14:paraId="362BF123" w14:textId="77777777" w:rsidR="00F24EB0" w:rsidRPr="000A06B4" w:rsidRDefault="00F24EB0" w:rsidP="00F24EB0">
      <w:pPr>
        <w:pStyle w:val="TabbedL2"/>
        <w:numPr>
          <w:ilvl w:val="0"/>
          <w:numId w:val="0"/>
        </w:numPr>
        <w:ind w:left="720"/>
        <w:rPr>
          <w:rFonts w:ascii="Arial" w:hAnsi="Arial" w:cs="Arial"/>
          <w:szCs w:val="24"/>
        </w:rPr>
      </w:pPr>
      <w:r w:rsidRPr="000A06B4">
        <w:rPr>
          <w:rFonts w:ascii="Arial" w:hAnsi="Arial" w:cs="Arial"/>
          <w:szCs w:val="24"/>
        </w:rPr>
        <w:t xml:space="preserve">In conformance with Sections 18992.1 and 18992.2 of the Regulations, the County shall estimate existing Edible Food recovery capacity available in the County, in consultation with the Cities. If it is found that capacity is needed, the County shall work with the Jurisdictions that lack capacity to create a plan to expand capacity. </w:t>
      </w:r>
    </w:p>
    <w:p w14:paraId="60373325" w14:textId="77777777" w:rsidR="00F24EB0" w:rsidRPr="000A06B4" w:rsidRDefault="00F24EB0" w:rsidP="00F24EB0">
      <w:pPr>
        <w:pStyle w:val="Heading1"/>
        <w:spacing w:after="188"/>
        <w:rPr>
          <w:rFonts w:ascii="Arial" w:hAnsi="Arial" w:cs="Arial"/>
          <w:szCs w:val="24"/>
          <w:u w:val="none"/>
        </w:rPr>
      </w:pPr>
      <w:r w:rsidRPr="000A06B4">
        <w:rPr>
          <w:rFonts w:ascii="Arial" w:hAnsi="Arial" w:cs="Arial"/>
          <w:szCs w:val="24"/>
          <w:u w:val="none"/>
        </w:rPr>
        <w:t xml:space="preserve">VI. </w:t>
      </w:r>
      <w:r w:rsidRPr="000A06B4">
        <w:rPr>
          <w:rFonts w:ascii="Arial" w:hAnsi="Arial" w:cs="Arial"/>
          <w:szCs w:val="24"/>
          <w:u w:val="none"/>
        </w:rPr>
        <w:tab/>
        <w:t>Enforcement</w:t>
      </w:r>
    </w:p>
    <w:p w14:paraId="40264950" w14:textId="77777777"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conduct enforcement of the ordinance within the County and participating Cities using a complaint-based system consistent with the California Code of Regulations, Title 14, Division 7, Chapter 12 Short-Lived Climate Pollutants. The County will respond to complaints, investigate, and resolve reported issue(s).</w:t>
      </w:r>
    </w:p>
    <w:p w14:paraId="16273E5A" w14:textId="77777777"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comply with enforcement provisions detailed in the ordinance, in compliance with SB 1383, and in accordance with the County’s own enforcement provisions.</w:t>
      </w:r>
    </w:p>
    <w:p w14:paraId="441E9950" w14:textId="77777777" w:rsidR="00F24EB0" w:rsidRPr="000A06B4" w:rsidRDefault="00F24EB0" w:rsidP="00F24EB0">
      <w:pPr>
        <w:numPr>
          <w:ilvl w:val="0"/>
          <w:numId w:val="1"/>
        </w:numPr>
        <w:spacing w:after="183" w:line="263" w:lineRule="auto"/>
        <w:ind w:left="1080" w:hanging="360"/>
        <w:rPr>
          <w:rFonts w:ascii="Arial" w:hAnsi="Arial" w:cs="Arial"/>
        </w:rPr>
      </w:pPr>
      <w:r w:rsidRPr="000A06B4">
        <w:rPr>
          <w:rFonts w:ascii="Arial" w:hAnsi="Arial" w:cs="Arial"/>
        </w:rPr>
        <w:t>The County will keep detailed records of enforcement in the County and the Cities for a minimum of five (5) years.</w:t>
      </w:r>
    </w:p>
    <w:p w14:paraId="089C9BEB" w14:textId="3BCB156F" w:rsidR="00F24EB0" w:rsidRPr="000A06B4" w:rsidRDefault="0C17D7DD" w:rsidP="00F24EB0">
      <w:pPr>
        <w:numPr>
          <w:ilvl w:val="0"/>
          <w:numId w:val="1"/>
        </w:numPr>
        <w:spacing w:after="183" w:line="263" w:lineRule="auto"/>
        <w:ind w:left="1080" w:hanging="360"/>
        <w:rPr>
          <w:rFonts w:ascii="Arial" w:hAnsi="Arial" w:cs="Arial"/>
        </w:rPr>
      </w:pPr>
      <w:r w:rsidRPr="3B34C801">
        <w:rPr>
          <w:rFonts w:ascii="Arial" w:hAnsi="Arial" w:cs="Arial"/>
        </w:rPr>
        <w:t xml:space="preserve">The County will submit the necessary reports to </w:t>
      </w:r>
      <w:proofErr w:type="spellStart"/>
      <w:r w:rsidRPr="3B34C801">
        <w:rPr>
          <w:rFonts w:ascii="Arial" w:hAnsi="Arial" w:cs="Arial"/>
        </w:rPr>
        <w:t>CalRecyle</w:t>
      </w:r>
      <w:proofErr w:type="spellEnd"/>
      <w:r w:rsidRPr="3B34C801">
        <w:rPr>
          <w:rFonts w:ascii="Arial" w:hAnsi="Arial" w:cs="Arial"/>
        </w:rPr>
        <w:t xml:space="preserve"> on the Edible Food Recovery Program.</w:t>
      </w:r>
    </w:p>
    <w:p w14:paraId="640DFEE6" w14:textId="77777777" w:rsidR="00F24EB0" w:rsidRPr="000A06B4" w:rsidRDefault="00F24EB0" w:rsidP="00F24EB0">
      <w:pPr>
        <w:numPr>
          <w:ilvl w:val="0"/>
          <w:numId w:val="1"/>
        </w:numPr>
        <w:spacing w:after="184" w:line="263" w:lineRule="auto"/>
        <w:ind w:left="1080" w:hanging="360"/>
        <w:rPr>
          <w:rFonts w:ascii="Arial" w:hAnsi="Arial" w:cs="Arial"/>
        </w:rPr>
      </w:pPr>
      <w:r w:rsidRPr="000A06B4">
        <w:rPr>
          <w:rFonts w:ascii="Arial" w:hAnsi="Arial" w:cs="Arial"/>
        </w:rPr>
        <w:t>The County will notify the Cities promptly about any related issues that arise that require the Cities assistance or to request the Cities lead in resolving the issue(s) related to noncompliance.</w:t>
      </w:r>
    </w:p>
    <w:p w14:paraId="76BA7169" w14:textId="77777777" w:rsidR="00F24EB0" w:rsidRPr="000A06B4" w:rsidRDefault="00F24EB0" w:rsidP="00F24EB0">
      <w:pPr>
        <w:numPr>
          <w:ilvl w:val="0"/>
          <w:numId w:val="1"/>
        </w:numPr>
        <w:spacing w:after="3" w:line="263" w:lineRule="auto"/>
        <w:ind w:left="1170" w:hanging="450"/>
        <w:rPr>
          <w:rFonts w:ascii="Arial" w:hAnsi="Arial" w:cs="Arial"/>
        </w:rPr>
      </w:pPr>
      <w:r w:rsidRPr="000A06B4">
        <w:rPr>
          <w:rFonts w:ascii="Arial" w:hAnsi="Arial" w:cs="Arial"/>
        </w:rPr>
        <w:t>The Cities will work with the County on any related issues requiring jurisdictional assistance or lead in resolving the issue(s) related to complaints and/or noncompliance by any Tier 1 and Tier 2 Edible Food Generator or Food Recovery Organization and Service as defined in the California Code of Regulations, Title 14, Division 7, Chapter 12 Short Lived Climate Pollutants and operating within Cities boundaries.</w:t>
      </w:r>
    </w:p>
    <w:p w14:paraId="672A6659" w14:textId="77777777" w:rsidR="00D40882" w:rsidRDefault="00D40882" w:rsidP="00F24EB0"/>
    <w:sectPr w:rsidR="00D40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17C6"/>
    <w:multiLevelType w:val="hybridMultilevel"/>
    <w:tmpl w:val="50E855F2"/>
    <w:lvl w:ilvl="0" w:tplc="8BA6040A">
      <w:start w:val="1"/>
      <w:numFmt w:val="decimal"/>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E0C30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8B7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453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E9D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615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28C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4E6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A48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390103"/>
    <w:multiLevelType w:val="multilevel"/>
    <w:tmpl w:val="F5A0B1FC"/>
    <w:name w:val="zzmpTabbed||Tabbed|2|3|1|1|12|9||1|12|1||1|12|1||1|12|1||1|12|0||1|12|0||1|12|0||1|12|0||1|12|0||"/>
    <w:lvl w:ilvl="0">
      <w:start w:val="1"/>
      <w:numFmt w:val="decimal"/>
      <w:pStyle w:val="TabbedL1"/>
      <w:lvlText w:val="%1."/>
      <w:lvlJc w:val="left"/>
      <w:pPr>
        <w:tabs>
          <w:tab w:val="num" w:pos="1440"/>
        </w:tabs>
        <w:ind w:left="0" w:firstLine="720"/>
      </w:pPr>
      <w:rPr>
        <w:rFonts w:ascii="Arial" w:hAnsi="Arial" w:cs="Arial" w:hint="default"/>
        <w:b w:val="0"/>
        <w:i w:val="0"/>
        <w:caps w:val="0"/>
        <w:u w:val="none"/>
      </w:rPr>
    </w:lvl>
    <w:lvl w:ilvl="1">
      <w:start w:val="1"/>
      <w:numFmt w:val="lowerLetter"/>
      <w:pStyle w:val="TabbedL2"/>
      <w:lvlText w:val="(%2)"/>
      <w:lvlJc w:val="left"/>
      <w:pPr>
        <w:tabs>
          <w:tab w:val="num" w:pos="2160"/>
        </w:tabs>
        <w:ind w:left="0" w:firstLine="1440"/>
      </w:pPr>
      <w:rPr>
        <w:rFonts w:ascii="Arial" w:hAnsi="Arial" w:cs="Arial" w:hint="default"/>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B0"/>
    <w:rsid w:val="004A53F8"/>
    <w:rsid w:val="00D40882"/>
    <w:rsid w:val="00F24EB0"/>
    <w:rsid w:val="05C5B9CA"/>
    <w:rsid w:val="0C17D7DD"/>
    <w:rsid w:val="34436DB5"/>
    <w:rsid w:val="3768410F"/>
    <w:rsid w:val="3B34C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0BB6"/>
  <w15:chartTrackingRefBased/>
  <w15:docId w15:val="{F0A1C1B9-A6F1-4859-B9F7-87AD52E8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F24EB0"/>
    <w:pPr>
      <w:keepNext/>
      <w:keepLines/>
      <w:spacing w:after="159" w:line="258"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B0"/>
    <w:rPr>
      <w:rFonts w:ascii="Times New Roman" w:eastAsia="Times New Roman" w:hAnsi="Times New Roman" w:cs="Times New Roman"/>
      <w:b/>
      <w:color w:val="000000"/>
      <w:sz w:val="24"/>
      <w:u w:val="single" w:color="000000"/>
    </w:rPr>
  </w:style>
  <w:style w:type="paragraph" w:customStyle="1" w:styleId="TabbedL1">
    <w:name w:val="Tabbed_L1"/>
    <w:basedOn w:val="Normal"/>
    <w:next w:val="BodyText"/>
    <w:rsid w:val="00F24EB0"/>
    <w:pPr>
      <w:numPr>
        <w:numId w:val="2"/>
      </w:numPr>
      <w:spacing w:after="240" w:line="240" w:lineRule="auto"/>
      <w:outlineLvl w:val="0"/>
    </w:pPr>
    <w:rPr>
      <w:rFonts w:ascii="Calibri" w:eastAsia="Times New Roman" w:hAnsi="Calibri" w:cs="Calibri"/>
      <w:sz w:val="24"/>
      <w:szCs w:val="20"/>
    </w:rPr>
  </w:style>
  <w:style w:type="paragraph" w:customStyle="1" w:styleId="TabbedL2">
    <w:name w:val="Tabbed_L2"/>
    <w:basedOn w:val="TabbedL1"/>
    <w:next w:val="BodyText"/>
    <w:link w:val="TabbedL2Char"/>
    <w:rsid w:val="00F24EB0"/>
    <w:pPr>
      <w:numPr>
        <w:ilvl w:val="1"/>
      </w:numPr>
      <w:outlineLvl w:val="1"/>
    </w:pPr>
  </w:style>
  <w:style w:type="character" w:customStyle="1" w:styleId="TabbedL2Char">
    <w:name w:val="Tabbed_L2 Char"/>
    <w:link w:val="TabbedL2"/>
    <w:rsid w:val="00F24EB0"/>
    <w:rPr>
      <w:rFonts w:ascii="Calibri" w:eastAsia="Times New Roman" w:hAnsi="Calibri" w:cs="Calibri"/>
      <w:sz w:val="24"/>
      <w:szCs w:val="20"/>
    </w:rPr>
  </w:style>
  <w:style w:type="paragraph" w:customStyle="1" w:styleId="TabbedL3">
    <w:name w:val="Tabbed_L3"/>
    <w:basedOn w:val="TabbedL2"/>
    <w:next w:val="BodyText"/>
    <w:link w:val="TabbedL3Char"/>
    <w:rsid w:val="00F24EB0"/>
    <w:pPr>
      <w:numPr>
        <w:ilvl w:val="2"/>
      </w:numPr>
      <w:tabs>
        <w:tab w:val="clear" w:pos="2880"/>
      </w:tabs>
      <w:ind w:left="1800"/>
      <w:outlineLvl w:val="2"/>
    </w:pPr>
  </w:style>
  <w:style w:type="paragraph" w:customStyle="1" w:styleId="TabbedL4">
    <w:name w:val="Tabbed_L4"/>
    <w:basedOn w:val="TabbedL3"/>
    <w:next w:val="BodyText"/>
    <w:rsid w:val="00F24EB0"/>
    <w:pPr>
      <w:numPr>
        <w:ilvl w:val="3"/>
      </w:numPr>
      <w:tabs>
        <w:tab w:val="clear" w:pos="3600"/>
        <w:tab w:val="num" w:pos="360"/>
        <w:tab w:val="num" w:pos="2880"/>
      </w:tabs>
      <w:ind w:left="2520" w:hanging="360"/>
      <w:outlineLvl w:val="3"/>
    </w:pPr>
  </w:style>
  <w:style w:type="paragraph" w:customStyle="1" w:styleId="TabbedL5">
    <w:name w:val="Tabbed_L5"/>
    <w:basedOn w:val="TabbedL4"/>
    <w:next w:val="BodyText"/>
    <w:rsid w:val="00F24EB0"/>
    <w:pPr>
      <w:numPr>
        <w:ilvl w:val="4"/>
      </w:numPr>
      <w:tabs>
        <w:tab w:val="clear" w:pos="4320"/>
        <w:tab w:val="num" w:pos="360"/>
        <w:tab w:val="num" w:pos="2880"/>
        <w:tab w:val="num" w:pos="3600"/>
      </w:tabs>
      <w:ind w:left="3240" w:hanging="360"/>
      <w:outlineLvl w:val="4"/>
    </w:pPr>
  </w:style>
  <w:style w:type="paragraph" w:customStyle="1" w:styleId="TabbedL6">
    <w:name w:val="Tabbed_L6"/>
    <w:basedOn w:val="TabbedL5"/>
    <w:next w:val="BodyText"/>
    <w:rsid w:val="00F24EB0"/>
    <w:pPr>
      <w:numPr>
        <w:ilvl w:val="5"/>
      </w:numPr>
      <w:tabs>
        <w:tab w:val="clear" w:pos="5040"/>
        <w:tab w:val="num" w:pos="360"/>
        <w:tab w:val="num" w:pos="2880"/>
        <w:tab w:val="num" w:pos="4320"/>
      </w:tabs>
      <w:ind w:left="3960" w:hanging="360"/>
      <w:outlineLvl w:val="5"/>
    </w:pPr>
  </w:style>
  <w:style w:type="paragraph" w:customStyle="1" w:styleId="TabbedL7">
    <w:name w:val="Tabbed_L7"/>
    <w:basedOn w:val="TabbedL6"/>
    <w:next w:val="BodyText"/>
    <w:rsid w:val="00F24EB0"/>
    <w:pPr>
      <w:numPr>
        <w:ilvl w:val="6"/>
      </w:numPr>
      <w:tabs>
        <w:tab w:val="clear" w:pos="5760"/>
        <w:tab w:val="num" w:pos="360"/>
        <w:tab w:val="num" w:pos="2880"/>
        <w:tab w:val="num" w:pos="5040"/>
      </w:tabs>
      <w:ind w:left="4680" w:hanging="360"/>
      <w:outlineLvl w:val="6"/>
    </w:pPr>
  </w:style>
  <w:style w:type="paragraph" w:customStyle="1" w:styleId="TabbedL8">
    <w:name w:val="Tabbed_L8"/>
    <w:basedOn w:val="TabbedL7"/>
    <w:next w:val="BodyText"/>
    <w:rsid w:val="00F24EB0"/>
    <w:pPr>
      <w:numPr>
        <w:ilvl w:val="7"/>
      </w:numPr>
      <w:tabs>
        <w:tab w:val="clear" w:pos="6480"/>
        <w:tab w:val="num" w:pos="360"/>
        <w:tab w:val="num" w:pos="2880"/>
        <w:tab w:val="num" w:pos="5760"/>
      </w:tabs>
      <w:ind w:left="5400" w:hanging="360"/>
      <w:outlineLvl w:val="7"/>
    </w:pPr>
  </w:style>
  <w:style w:type="paragraph" w:customStyle="1" w:styleId="TabbedL9">
    <w:name w:val="Tabbed_L9"/>
    <w:basedOn w:val="TabbedL8"/>
    <w:next w:val="BodyText"/>
    <w:rsid w:val="00F24EB0"/>
    <w:pPr>
      <w:numPr>
        <w:ilvl w:val="8"/>
      </w:numPr>
      <w:tabs>
        <w:tab w:val="clear" w:pos="7200"/>
        <w:tab w:val="num" w:pos="360"/>
        <w:tab w:val="num" w:pos="2880"/>
        <w:tab w:val="num" w:pos="6480"/>
      </w:tabs>
      <w:ind w:left="6120" w:hanging="360"/>
      <w:outlineLvl w:val="8"/>
    </w:pPr>
  </w:style>
  <w:style w:type="character" w:customStyle="1" w:styleId="TabbedL3Char">
    <w:name w:val="Tabbed_L3 Char"/>
    <w:link w:val="TabbedL3"/>
    <w:rsid w:val="00F24EB0"/>
    <w:rPr>
      <w:rFonts w:ascii="Calibri" w:eastAsia="Times New Roman" w:hAnsi="Calibri" w:cs="Calibri"/>
      <w:sz w:val="24"/>
      <w:szCs w:val="20"/>
    </w:rPr>
  </w:style>
  <w:style w:type="paragraph" w:styleId="BodyText">
    <w:name w:val="Body Text"/>
    <w:basedOn w:val="Normal"/>
    <w:link w:val="BodyTextChar"/>
    <w:uiPriority w:val="99"/>
    <w:semiHidden/>
    <w:unhideWhenUsed/>
    <w:rsid w:val="00F24EB0"/>
    <w:pPr>
      <w:spacing w:after="120"/>
    </w:pPr>
  </w:style>
  <w:style w:type="character" w:customStyle="1" w:styleId="BodyTextChar">
    <w:name w:val="Body Text Char"/>
    <w:basedOn w:val="DefaultParagraphFont"/>
    <w:link w:val="BodyText"/>
    <w:uiPriority w:val="99"/>
    <w:semiHidden/>
    <w:rsid w:val="00F2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 Hall</cp:lastModifiedBy>
  <cp:revision>2</cp:revision>
  <dcterms:created xsi:type="dcterms:W3CDTF">2022-04-25T18:28:00Z</dcterms:created>
  <dcterms:modified xsi:type="dcterms:W3CDTF">2022-04-25T18:28:00Z</dcterms:modified>
</cp:coreProperties>
</file>