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B22C" w14:textId="037D7D36" w:rsidR="00ED00E0" w:rsidRPr="00FA512A" w:rsidRDefault="0044131A" w:rsidP="00FA512A">
      <w:pPr>
        <w:jc w:val="center"/>
        <w:rPr>
          <w:rFonts w:ascii="Times New Roman" w:hAnsi="Times New Roman" w:cs="Times New Roman"/>
          <w:b/>
          <w:bCs/>
        </w:rPr>
      </w:pPr>
      <w:r w:rsidRPr="00FA512A">
        <w:rPr>
          <w:rFonts w:ascii="Times New Roman" w:hAnsi="Times New Roman" w:cs="Times New Roman"/>
          <w:b/>
          <w:bCs/>
        </w:rPr>
        <w:t>PROJECT INFORMATION FORM</w:t>
      </w:r>
    </w:p>
    <w:p w14:paraId="4A9BB1EA" w14:textId="52052C4F" w:rsidR="0044131A" w:rsidRPr="00FA512A" w:rsidRDefault="0044131A">
      <w:pPr>
        <w:rPr>
          <w:rFonts w:ascii="Times New Roman" w:hAnsi="Times New Roman" w:cs="Times New Roman"/>
        </w:rPr>
      </w:pPr>
    </w:p>
    <w:p w14:paraId="518A9C39" w14:textId="72142DB4" w:rsidR="0044131A" w:rsidRPr="00DE6953" w:rsidRDefault="0044131A">
      <w:pPr>
        <w:rPr>
          <w:rFonts w:ascii="Times New Roman" w:hAnsi="Times New Roman" w:cs="Times New Roman"/>
          <w:b/>
          <w:bCs/>
        </w:rPr>
      </w:pPr>
      <w:r w:rsidRPr="00DE6953">
        <w:rPr>
          <w:rFonts w:ascii="Times New Roman" w:hAnsi="Times New Roman" w:cs="Times New Roman"/>
          <w:b/>
          <w:bCs/>
        </w:rPr>
        <w:t xml:space="preserve">Please complete a unique Project Information Form </w:t>
      </w:r>
      <w:r w:rsidRPr="00C87C30">
        <w:rPr>
          <w:rFonts w:ascii="Times New Roman" w:hAnsi="Times New Roman" w:cs="Times New Roman"/>
          <w:b/>
          <w:bCs/>
          <w:u w:val="single"/>
        </w:rPr>
        <w:t>for each project</w:t>
      </w:r>
      <w:r w:rsidRPr="00DE6953">
        <w:rPr>
          <w:rFonts w:ascii="Times New Roman" w:hAnsi="Times New Roman" w:cs="Times New Roman"/>
          <w:b/>
          <w:bCs/>
        </w:rPr>
        <w:t xml:space="preserve"> in the application. There are no character limits on specific </w:t>
      </w:r>
      <w:r w:rsidR="00FA512A" w:rsidRPr="00DE6953">
        <w:rPr>
          <w:rFonts w:ascii="Times New Roman" w:hAnsi="Times New Roman" w:cs="Times New Roman"/>
          <w:b/>
          <w:bCs/>
        </w:rPr>
        <w:t>questions,</w:t>
      </w:r>
      <w:r w:rsidRPr="00DE6953">
        <w:rPr>
          <w:rFonts w:ascii="Times New Roman" w:hAnsi="Times New Roman" w:cs="Times New Roman"/>
          <w:b/>
          <w:bCs/>
        </w:rPr>
        <w:t xml:space="preserve"> but the Project Information Form </w:t>
      </w:r>
      <w:r w:rsidR="002B65BF" w:rsidRPr="00DE6953">
        <w:rPr>
          <w:rFonts w:ascii="Times New Roman" w:hAnsi="Times New Roman" w:cs="Times New Roman"/>
          <w:b/>
          <w:bCs/>
        </w:rPr>
        <w:t>may</w:t>
      </w:r>
      <w:r w:rsidRPr="00DE6953">
        <w:rPr>
          <w:rFonts w:ascii="Times New Roman" w:hAnsi="Times New Roman" w:cs="Times New Roman"/>
          <w:b/>
          <w:bCs/>
        </w:rPr>
        <w:t xml:space="preserve"> not exceed </w:t>
      </w:r>
      <w:r w:rsidRPr="00DE6953">
        <w:rPr>
          <w:rFonts w:ascii="Times New Roman" w:hAnsi="Times New Roman" w:cs="Times New Roman"/>
          <w:b/>
          <w:bCs/>
          <w:u w:val="single"/>
        </w:rPr>
        <w:t>10 pages.</w:t>
      </w:r>
      <w:r w:rsidRPr="00DE6953">
        <w:rPr>
          <w:rFonts w:ascii="Times New Roman" w:hAnsi="Times New Roman" w:cs="Times New Roman"/>
          <w:b/>
          <w:bCs/>
        </w:rPr>
        <w:t xml:space="preserve"> </w:t>
      </w:r>
    </w:p>
    <w:p w14:paraId="5D861F1E" w14:textId="77777777" w:rsidR="0044131A" w:rsidRPr="00FA512A" w:rsidRDefault="0044131A">
      <w:pPr>
        <w:rPr>
          <w:rFonts w:ascii="Times New Roman" w:hAnsi="Times New Roman" w:cs="Times New Roman"/>
        </w:rPr>
      </w:pPr>
    </w:p>
    <w:p w14:paraId="0D14F663" w14:textId="3356CB74" w:rsidR="0044131A" w:rsidRPr="006B3BFE" w:rsidRDefault="0044131A" w:rsidP="0044131A">
      <w:pPr>
        <w:pStyle w:val="ListParagraph"/>
        <w:numPr>
          <w:ilvl w:val="0"/>
          <w:numId w:val="3"/>
        </w:numPr>
        <w:rPr>
          <w:rFonts w:ascii="Times New Roman" w:hAnsi="Times New Roman" w:cs="Times New Roman"/>
        </w:rPr>
      </w:pPr>
      <w:r w:rsidRPr="00FA512A">
        <w:rPr>
          <w:rFonts w:ascii="Times New Roman" w:hAnsi="Times New Roman" w:cs="Times New Roman"/>
        </w:rPr>
        <w:t xml:space="preserve">Project Name: </w:t>
      </w:r>
      <w:r w:rsidR="001619F2" w:rsidRPr="006B3BFE">
        <w:rPr>
          <w:rFonts w:ascii="Times New Roman" w:hAnsi="Times New Roman" w:cs="Times New Roman"/>
          <w:b/>
        </w:rPr>
        <w:t>Scott Valley Drought Resilience and Water Supply Enhancement</w:t>
      </w:r>
    </w:p>
    <w:p w14:paraId="61D806C2" w14:textId="673BA85A" w:rsidR="0044131A" w:rsidRPr="00AA7DB9" w:rsidRDefault="0044131A" w:rsidP="0044131A">
      <w:pPr>
        <w:pStyle w:val="ListParagraph"/>
        <w:numPr>
          <w:ilvl w:val="0"/>
          <w:numId w:val="3"/>
        </w:numPr>
        <w:rPr>
          <w:rFonts w:ascii="Times New Roman" w:hAnsi="Times New Roman" w:cs="Times New Roman"/>
          <w:b/>
          <w:bCs/>
        </w:rPr>
      </w:pPr>
      <w:r w:rsidRPr="00FA512A">
        <w:rPr>
          <w:rFonts w:ascii="Times New Roman" w:hAnsi="Times New Roman" w:cs="Times New Roman"/>
        </w:rPr>
        <w:t xml:space="preserve">Local Project Sponsor (if different from the grantee): </w:t>
      </w:r>
      <w:r w:rsidR="008111D3" w:rsidRPr="00AA7DB9">
        <w:rPr>
          <w:rFonts w:ascii="Times New Roman" w:hAnsi="Times New Roman" w:cs="Times New Roman"/>
          <w:b/>
          <w:bCs/>
        </w:rPr>
        <w:t>N/A</w:t>
      </w:r>
    </w:p>
    <w:p w14:paraId="526862A2" w14:textId="669796DC" w:rsidR="0044131A" w:rsidRDefault="0044131A" w:rsidP="0044131A">
      <w:pPr>
        <w:pStyle w:val="ListParagraph"/>
        <w:numPr>
          <w:ilvl w:val="0"/>
          <w:numId w:val="3"/>
        </w:numPr>
        <w:rPr>
          <w:rFonts w:ascii="Times New Roman" w:hAnsi="Times New Roman" w:cs="Times New Roman"/>
        </w:rPr>
      </w:pPr>
      <w:r w:rsidRPr="00FA512A">
        <w:rPr>
          <w:rFonts w:ascii="Times New Roman" w:hAnsi="Times New Roman" w:cs="Times New Roman"/>
        </w:rPr>
        <w:t>Please Provide the Latitude and longitude of the project site. For Linear projects or thos</w:t>
      </w:r>
      <w:r w:rsidR="0006376C" w:rsidRPr="00FA512A">
        <w:rPr>
          <w:rFonts w:ascii="Times New Roman" w:hAnsi="Times New Roman" w:cs="Times New Roman"/>
        </w:rPr>
        <w:t>e</w:t>
      </w:r>
      <w:r w:rsidRPr="00FA512A">
        <w:rPr>
          <w:rFonts w:ascii="Times New Roman" w:hAnsi="Times New Roman" w:cs="Times New Roman"/>
        </w:rPr>
        <w:t xml:space="preserve"> covering a large area, report the coordinates for a central point. If this information is confidential, it must be clearly labeled “confidential”. You can find the latitude and longitude easily using google maps. </w:t>
      </w:r>
    </w:p>
    <w:p w14:paraId="60836770" w14:textId="77777777" w:rsidR="005D6BA5" w:rsidRPr="00FA512A" w:rsidRDefault="005D6BA5" w:rsidP="005D6BA5">
      <w:pPr>
        <w:pStyle w:val="ListParagraph"/>
        <w:rPr>
          <w:rFonts w:ascii="Times New Roman" w:hAnsi="Times New Roman" w:cs="Times New Roman"/>
        </w:rPr>
      </w:pPr>
    </w:p>
    <w:p w14:paraId="2B81A56C" w14:textId="299E29B5" w:rsidR="0044131A" w:rsidRPr="009A0CEE" w:rsidRDefault="0044131A" w:rsidP="00D67DA3">
      <w:pPr>
        <w:ind w:firstLine="720"/>
        <w:rPr>
          <w:rFonts w:ascii="Times New Roman" w:hAnsi="Times New Roman" w:cs="Times New Roman"/>
          <w:b/>
        </w:rPr>
      </w:pPr>
      <w:r w:rsidRPr="00FA512A">
        <w:rPr>
          <w:rFonts w:ascii="Times New Roman" w:hAnsi="Times New Roman" w:cs="Times New Roman"/>
        </w:rPr>
        <w:t xml:space="preserve">Latitude: </w:t>
      </w:r>
      <w:r w:rsidR="00F91109" w:rsidRPr="00D939E7">
        <w:rPr>
          <w:rFonts w:ascii="Times New Roman" w:hAnsi="Times New Roman" w:cs="Times New Roman"/>
          <w:b/>
          <w:noProof/>
        </w:rPr>
        <w:t>41°28'55.1"N</w:t>
      </w:r>
      <w:r w:rsidRPr="00FA512A">
        <w:rPr>
          <w:rFonts w:ascii="Times New Roman" w:hAnsi="Times New Roman" w:cs="Times New Roman"/>
        </w:rPr>
        <w:tab/>
      </w:r>
      <w:r w:rsidRPr="00FA512A">
        <w:rPr>
          <w:rFonts w:ascii="Times New Roman" w:hAnsi="Times New Roman" w:cs="Times New Roman"/>
        </w:rPr>
        <w:tab/>
      </w:r>
      <w:r w:rsidR="00AC7BB2">
        <w:rPr>
          <w:rFonts w:ascii="Times New Roman" w:hAnsi="Times New Roman" w:cs="Times New Roman"/>
        </w:rPr>
        <w:tab/>
      </w:r>
      <w:r w:rsidRPr="00FA512A">
        <w:rPr>
          <w:rFonts w:ascii="Times New Roman" w:hAnsi="Times New Roman" w:cs="Times New Roman"/>
        </w:rPr>
        <w:t xml:space="preserve">Longitude:  </w:t>
      </w:r>
      <w:r w:rsidR="00F91109" w:rsidRPr="00D939E7">
        <w:rPr>
          <w:rFonts w:ascii="Times New Roman" w:hAnsi="Times New Roman" w:cs="Times New Roman"/>
          <w:b/>
          <w:noProof/>
        </w:rPr>
        <w:t>122°51'28.6"W</w:t>
      </w:r>
    </w:p>
    <w:p w14:paraId="5043A4F0" w14:textId="4E1B622E" w:rsidR="0006376C" w:rsidRPr="00FA512A" w:rsidRDefault="0006376C" w:rsidP="0044131A">
      <w:pPr>
        <w:rPr>
          <w:rFonts w:ascii="Times New Roman" w:hAnsi="Times New Roman" w:cs="Times New Roman"/>
        </w:rPr>
      </w:pPr>
    </w:p>
    <w:p w14:paraId="0B925422" w14:textId="5C495EB3" w:rsidR="0006376C" w:rsidRDefault="0006376C" w:rsidP="0006376C">
      <w:pPr>
        <w:pStyle w:val="ListParagraph"/>
        <w:numPr>
          <w:ilvl w:val="0"/>
          <w:numId w:val="3"/>
        </w:numPr>
        <w:rPr>
          <w:rFonts w:ascii="Times New Roman" w:hAnsi="Times New Roman" w:cs="Times New Roman"/>
        </w:rPr>
      </w:pPr>
      <w:r w:rsidRPr="00FA512A">
        <w:rPr>
          <w:rFonts w:ascii="Times New Roman" w:hAnsi="Times New Roman" w:cs="Times New Roman"/>
        </w:rPr>
        <w:t xml:space="preserve">Please briefly describe the proposed project. </w:t>
      </w:r>
    </w:p>
    <w:p w14:paraId="23CDE637" w14:textId="77777777" w:rsidR="00372EFF" w:rsidRDefault="00372EFF" w:rsidP="008C491A">
      <w:pPr>
        <w:pStyle w:val="BodyText"/>
      </w:pPr>
    </w:p>
    <w:p w14:paraId="07B94FD3" w14:textId="77777777" w:rsidR="00EE48A2" w:rsidRDefault="00372EFF" w:rsidP="002F0D09">
      <w:pPr>
        <w:pStyle w:val="BodyText"/>
      </w:pPr>
      <w:r w:rsidRPr="00596B76">
        <w:t>T</w:t>
      </w:r>
      <w:r w:rsidR="00CB7026" w:rsidRPr="00596B76">
        <w:t xml:space="preserve">he Scott Valley Drought Resilience and Water Supply Enhancement project (Project) is intended to address the human and environmental impacts due to one of the most severe droughts on record.  Scott Valley is located within Siskiyou County, one of the areas for which Governor Newsom declared a drought emergency in May 2021. As dry conditions continue in 2022, action is needed to address the ongoing impacts of drought conditions on water supply, which is critical for human, economic, and ecological health in Scott </w:t>
      </w:r>
      <w:r w:rsidR="00E45A84" w:rsidRPr="00596B76">
        <w:t>Valley.</w:t>
      </w:r>
      <w:r w:rsidR="00CB7026" w:rsidRPr="00596B76">
        <w:t xml:space="preserve"> This project </w:t>
      </w:r>
      <w:r w:rsidR="00AF5E3D">
        <w:t>will also serve to increase</w:t>
      </w:r>
      <w:r w:rsidR="00CB7026" w:rsidRPr="00596B76">
        <w:t xml:space="preserve"> preparedness for future drought conditions and improve drought resiliency in Scott Valley.  </w:t>
      </w:r>
    </w:p>
    <w:p w14:paraId="4A0CBFB6" w14:textId="51EED5EF" w:rsidR="00C076F0" w:rsidRDefault="001959D7" w:rsidP="002F0D09">
      <w:pPr>
        <w:pStyle w:val="BodyText"/>
      </w:pPr>
      <w:r>
        <w:t xml:space="preserve">This project focuses on the </w:t>
      </w:r>
      <w:r w:rsidR="003C20A0">
        <w:t xml:space="preserve">implementation and monitoring of groundwater recharge projects. </w:t>
      </w:r>
      <w:r w:rsidR="00A15FAD">
        <w:t xml:space="preserve">Work </w:t>
      </w:r>
      <w:r w:rsidR="00EE48A2">
        <w:t xml:space="preserve">under this project </w:t>
      </w:r>
      <w:r w:rsidR="008B42D8">
        <w:t>will expand on</w:t>
      </w:r>
      <w:r w:rsidR="00EE48A2">
        <w:t xml:space="preserve"> the</w:t>
      </w:r>
      <w:r w:rsidR="008B42D8">
        <w:t xml:space="preserve"> existing recharge conducted in </w:t>
      </w:r>
      <w:r w:rsidR="00EE48A2">
        <w:t xml:space="preserve">Scott </w:t>
      </w:r>
      <w:r w:rsidR="00D71699">
        <w:t>Valley</w:t>
      </w:r>
      <w:r w:rsidR="00EE48A2">
        <w:t xml:space="preserve"> under </w:t>
      </w:r>
      <w:r w:rsidR="00D71699">
        <w:t xml:space="preserve">the </w:t>
      </w:r>
      <w:r w:rsidR="00D71699" w:rsidRPr="00D918F9">
        <w:t>SVID</w:t>
      </w:r>
      <w:r w:rsidR="00344D1B" w:rsidRPr="00D918F9">
        <w:t xml:space="preserve"> Recharge</w:t>
      </w:r>
      <w:r w:rsidR="00A96377">
        <w:t xml:space="preserve"> Pilot</w:t>
      </w:r>
      <w:r w:rsidR="00344D1B" w:rsidRPr="00D918F9">
        <w:t xml:space="preserve"> Project.</w:t>
      </w:r>
      <w:r w:rsidR="001C5DAC">
        <w:t xml:space="preserve"> </w:t>
      </w:r>
      <w:r w:rsidR="000A1998">
        <w:t xml:space="preserve">This project uses SVID infrastructure to spread and store </w:t>
      </w:r>
      <w:r w:rsidR="00BB49B7">
        <w:t xml:space="preserve">water diverted </w:t>
      </w:r>
      <w:r w:rsidR="000A1998">
        <w:t xml:space="preserve">during high river flows in winter months to increase groundwater elevations </w:t>
      </w:r>
      <w:r w:rsidR="00E0443A">
        <w:t xml:space="preserve">and </w:t>
      </w:r>
      <w:r w:rsidR="00954781">
        <w:t>support</w:t>
      </w:r>
      <w:r w:rsidR="00F953D4">
        <w:t xml:space="preserve"> baseflow in the </w:t>
      </w:r>
      <w:r w:rsidR="00E0443A">
        <w:t xml:space="preserve">Scott River during </w:t>
      </w:r>
      <w:r w:rsidR="005476FD">
        <w:t xml:space="preserve">critical dry periods in the summer and fall. </w:t>
      </w:r>
      <w:r w:rsidR="0097090F">
        <w:t xml:space="preserve">This will include </w:t>
      </w:r>
      <w:r w:rsidR="00FB5CF4">
        <w:t>recharge implementation</w:t>
      </w:r>
      <w:r w:rsidR="00CA77F8">
        <w:t xml:space="preserve">, </w:t>
      </w:r>
      <w:r w:rsidR="00F22B4F">
        <w:t>monitoring</w:t>
      </w:r>
      <w:r w:rsidR="004F25EA">
        <w:t xml:space="preserve"> to quantify benefits</w:t>
      </w:r>
      <w:r w:rsidR="00A6161F">
        <w:t xml:space="preserve">, data compilation and analysis, </w:t>
      </w:r>
      <w:r w:rsidR="00BA1BDE">
        <w:t xml:space="preserve">water rights </w:t>
      </w:r>
      <w:r w:rsidR="00524626">
        <w:t>permitting,</w:t>
      </w:r>
      <w:r w:rsidR="00086081">
        <w:t xml:space="preserve"> and stakeholder outreach. </w:t>
      </w:r>
    </w:p>
    <w:p w14:paraId="7CC552C4" w14:textId="77777777" w:rsidR="00C076F0" w:rsidRDefault="00C076F0" w:rsidP="002F0D09">
      <w:pPr>
        <w:pStyle w:val="BodyText"/>
      </w:pPr>
    </w:p>
    <w:p w14:paraId="2EEAEC6C" w14:textId="6A7AEC52" w:rsidR="006A0DC8" w:rsidRDefault="006A0DC8" w:rsidP="002A4410">
      <w:pPr>
        <w:pStyle w:val="BodyText"/>
        <w:ind w:left="0" w:firstLine="360"/>
        <w:rPr>
          <w:i/>
          <w:iCs/>
        </w:rPr>
      </w:pPr>
      <w:r>
        <w:rPr>
          <w:i/>
          <w:iCs/>
        </w:rPr>
        <w:t xml:space="preserve">Existing Recharge </w:t>
      </w:r>
      <w:r w:rsidR="002A4410">
        <w:rPr>
          <w:i/>
          <w:iCs/>
        </w:rPr>
        <w:t xml:space="preserve">and </w:t>
      </w:r>
      <w:r>
        <w:rPr>
          <w:i/>
          <w:iCs/>
        </w:rPr>
        <w:t xml:space="preserve">Monitoring </w:t>
      </w:r>
      <w:r w:rsidR="002A4410">
        <w:rPr>
          <w:i/>
          <w:iCs/>
        </w:rPr>
        <w:t xml:space="preserve">in Scott Valley </w:t>
      </w:r>
    </w:p>
    <w:p w14:paraId="79451EFD" w14:textId="685E5627" w:rsidR="00841345" w:rsidRDefault="00543733" w:rsidP="0070270B">
      <w:pPr>
        <w:pStyle w:val="BodyText"/>
      </w:pPr>
      <w:r>
        <w:t xml:space="preserve">Funding was secured for the SVID Pilot Project from the National Fish and Wildlife Foundation (NFWF) in September of 2020. </w:t>
      </w:r>
      <w:r w:rsidR="00B7089E">
        <w:t xml:space="preserve">Under this Pilot Project, water was diverted from February to March 2021. </w:t>
      </w:r>
      <w:r w:rsidR="00E07303">
        <w:t>In</w:t>
      </w:r>
      <w:r w:rsidR="001C5DAC">
        <w:t xml:space="preserve"> March</w:t>
      </w:r>
      <w:r w:rsidR="00E07303">
        <w:t xml:space="preserve"> 2</w:t>
      </w:r>
      <w:r w:rsidR="001C5DAC">
        <w:t xml:space="preserve">022, </w:t>
      </w:r>
      <w:r w:rsidR="008E0649">
        <w:t xml:space="preserve">a temporary permit </w:t>
      </w:r>
      <w:r w:rsidR="008B4154">
        <w:t xml:space="preserve">to </w:t>
      </w:r>
      <w:r w:rsidR="00594E3F">
        <w:t>appropriate</w:t>
      </w:r>
      <w:r w:rsidR="008B4154">
        <w:t xml:space="preserve"> water </w:t>
      </w:r>
      <w:r w:rsidR="004B4661">
        <w:t xml:space="preserve">from the Scott River </w:t>
      </w:r>
      <w:r w:rsidR="00FF29A4">
        <w:t>was approved by the State Water Resources Cont</w:t>
      </w:r>
      <w:r w:rsidR="008E3BB7">
        <w:t>rol Board</w:t>
      </w:r>
      <w:r w:rsidR="0010359F">
        <w:t xml:space="preserve">, allowing </w:t>
      </w:r>
      <w:r w:rsidR="008D5DC3">
        <w:t xml:space="preserve">a maximum of 5,400 acre-feet per year to be diverted </w:t>
      </w:r>
      <w:r w:rsidR="00DA21FB">
        <w:t xml:space="preserve">from January 1- March </w:t>
      </w:r>
      <w:r w:rsidR="00110BD1">
        <w:t>31</w:t>
      </w:r>
      <w:r w:rsidR="00110BD1" w:rsidRPr="00110BD1">
        <w:rPr>
          <w:vertAlign w:val="superscript"/>
        </w:rPr>
        <w:t>st</w:t>
      </w:r>
      <w:r w:rsidR="00E07303">
        <w:t xml:space="preserve">. </w:t>
      </w:r>
      <w:r w:rsidR="001C5DAC">
        <w:t xml:space="preserve"> </w:t>
      </w:r>
      <w:r w:rsidR="00344D1B" w:rsidRPr="00D918F9">
        <w:t xml:space="preserve"> This project</w:t>
      </w:r>
      <w:r w:rsidR="001F52BA">
        <w:t xml:space="preserve"> </w:t>
      </w:r>
      <w:r w:rsidR="00335C49">
        <w:t>serves</w:t>
      </w:r>
      <w:r w:rsidR="00344D1B" w:rsidRPr="00D918F9">
        <w:t xml:space="preserve"> as the basis for future implementation of grou</w:t>
      </w:r>
      <w:r w:rsidR="00344D1B">
        <w:t>nd</w:t>
      </w:r>
      <w:r w:rsidR="00344D1B" w:rsidRPr="00D918F9">
        <w:t xml:space="preserve">water recharge in Scott Valley as a tool to enhance water supply and </w:t>
      </w:r>
      <w:r w:rsidR="00926199" w:rsidRPr="00D918F9">
        <w:t>streamflow and</w:t>
      </w:r>
      <w:r w:rsidR="00344D1B" w:rsidRPr="00D918F9">
        <w:t xml:space="preserve"> improve resilience to drought.  </w:t>
      </w:r>
      <w:r w:rsidR="005209FC">
        <w:t xml:space="preserve">Monitoring associated with 2021 recharge included isotope analysis of water from the Scott River, SVID, recharge water groundwater, and rain </w:t>
      </w:r>
      <w:r w:rsidR="005209FC">
        <w:lastRenderedPageBreak/>
        <w:t xml:space="preserve">samples. Groundwater levels were monitored using a water level sounder in two locations. Additional monitoring infrastructure that has been installed since spring 2021 includes pressure transducers in ten existing wells and installations are ongoing. </w:t>
      </w:r>
    </w:p>
    <w:p w14:paraId="7E7EBACE" w14:textId="06254B71" w:rsidR="00387D73" w:rsidRDefault="00387D73" w:rsidP="00EC5A44">
      <w:pPr>
        <w:pStyle w:val="BodyText"/>
        <w:ind w:left="0"/>
        <w:rPr>
          <w:i/>
          <w:iCs/>
        </w:rPr>
      </w:pPr>
      <w:r>
        <w:rPr>
          <w:i/>
          <w:iCs/>
        </w:rPr>
        <w:t xml:space="preserve">Task 1: Grant Administration </w:t>
      </w:r>
    </w:p>
    <w:p w14:paraId="6AA30A0B" w14:textId="1244B596" w:rsidR="006A074B" w:rsidRDefault="00AD3E99" w:rsidP="00EC5A44">
      <w:pPr>
        <w:pStyle w:val="BodyText"/>
        <w:ind w:left="0"/>
      </w:pPr>
      <w:r>
        <w:t>This task</w:t>
      </w:r>
      <w:r w:rsidR="00F83139">
        <w:t xml:space="preserve"> includes conducting general grant administration </w:t>
      </w:r>
      <w:r w:rsidR="00EE20ED">
        <w:t xml:space="preserve">including reporting, </w:t>
      </w:r>
      <w:r w:rsidR="00995857">
        <w:t>invoicing,</w:t>
      </w:r>
      <w:r w:rsidR="00EE20ED">
        <w:t xml:space="preserve"> and tracking the progress of the project in relation to the established timelin</w:t>
      </w:r>
      <w:r w:rsidR="00E018CD">
        <w:t>e</w:t>
      </w:r>
      <w:r w:rsidR="00EE20ED">
        <w:t xml:space="preserve">. </w:t>
      </w:r>
    </w:p>
    <w:p w14:paraId="6BB69773" w14:textId="7E98CBEC" w:rsidR="00410DA4" w:rsidRDefault="006A074B" w:rsidP="00410DA4">
      <w:pPr>
        <w:pStyle w:val="BodyText"/>
        <w:ind w:left="0"/>
        <w:rPr>
          <w:i/>
          <w:iCs/>
        </w:rPr>
      </w:pPr>
      <w:r>
        <w:rPr>
          <w:i/>
          <w:iCs/>
        </w:rPr>
        <w:t>Task 2</w:t>
      </w:r>
      <w:r w:rsidR="00001EB1">
        <w:rPr>
          <w:i/>
          <w:iCs/>
        </w:rPr>
        <w:t xml:space="preserve">: </w:t>
      </w:r>
      <w:r>
        <w:rPr>
          <w:i/>
          <w:iCs/>
        </w:rPr>
        <w:t xml:space="preserve"> </w:t>
      </w:r>
      <w:r w:rsidR="00410DA4">
        <w:rPr>
          <w:i/>
          <w:iCs/>
        </w:rPr>
        <w:t xml:space="preserve">Project Design and Outreach </w:t>
      </w:r>
    </w:p>
    <w:p w14:paraId="3AC57AB7" w14:textId="5CB86FDE" w:rsidR="00266C06" w:rsidRPr="00266C06" w:rsidRDefault="00266C06" w:rsidP="00410DA4">
      <w:pPr>
        <w:pStyle w:val="BodyText"/>
        <w:ind w:left="0"/>
      </w:pPr>
      <w:r>
        <w:t xml:space="preserve">This task </w:t>
      </w:r>
      <w:r w:rsidR="003D18DD">
        <w:t xml:space="preserve">will focus on developing a </w:t>
      </w:r>
      <w:r w:rsidR="00C222CE">
        <w:t xml:space="preserve">plan for </w:t>
      </w:r>
      <w:r w:rsidR="00CB78BE">
        <w:t xml:space="preserve">strategic implementation of groundwater recharge in Scott Valley. </w:t>
      </w:r>
      <w:r w:rsidR="00B254F6">
        <w:t>This will include</w:t>
      </w:r>
      <w:r w:rsidR="004C24E2">
        <w:t xml:space="preserve">: </w:t>
      </w:r>
    </w:p>
    <w:p w14:paraId="56DD1867" w14:textId="16213F12" w:rsidR="00410DA4" w:rsidRDefault="00410DA4" w:rsidP="00410DA4">
      <w:pPr>
        <w:pStyle w:val="BodyText"/>
        <w:ind w:left="0"/>
      </w:pPr>
      <w:r>
        <w:t>Subtask 2.1 will include planning and logistics for expanded recharge implementation</w:t>
      </w:r>
      <w:r w:rsidR="007A209E">
        <w:t xml:space="preserve">. </w:t>
      </w:r>
      <w:r w:rsidR="00A015F0">
        <w:t xml:space="preserve">Although four sites have been identified in Scott Valley for recharge, </w:t>
      </w:r>
      <w:r w:rsidR="00831113">
        <w:t xml:space="preserve">additional planning and design is required. </w:t>
      </w:r>
      <w:r w:rsidR="00AF5E10">
        <w:t>This includes prioritization of sites for groundwater recharge</w:t>
      </w:r>
      <w:r w:rsidR="001C4591">
        <w:t>, infrastructure requirements</w:t>
      </w:r>
      <w:r w:rsidR="006C4100">
        <w:t xml:space="preserve">, and </w:t>
      </w:r>
      <w:r>
        <w:t>access or landowner agreements</w:t>
      </w:r>
      <w:r w:rsidR="009342DD">
        <w:t xml:space="preserve">. </w:t>
      </w:r>
      <w:r w:rsidR="002E4573">
        <w:t xml:space="preserve"> </w:t>
      </w:r>
    </w:p>
    <w:p w14:paraId="7AFE0A8B" w14:textId="7CA24E35" w:rsidR="00410DA4" w:rsidRDefault="00410DA4" w:rsidP="00410DA4">
      <w:pPr>
        <w:pStyle w:val="BodyText"/>
        <w:ind w:left="0"/>
      </w:pPr>
      <w:r>
        <w:t xml:space="preserve">Subtask 2.2 will focus on design of the monitoring network, and subsequent </w:t>
      </w:r>
      <w:r w:rsidR="0061058B">
        <w:t xml:space="preserve">plan for data collection and </w:t>
      </w:r>
      <w:r>
        <w:t>analysis</w:t>
      </w:r>
      <w:r w:rsidR="00EA3AFB">
        <w:t xml:space="preserve"> </w:t>
      </w:r>
      <w:r>
        <w:t xml:space="preserve">to quantify groundwater recharge benefits. </w:t>
      </w:r>
    </w:p>
    <w:p w14:paraId="7EE7829C" w14:textId="46D4143F" w:rsidR="00410DA4" w:rsidRDefault="00410DA4" w:rsidP="00410DA4">
      <w:pPr>
        <w:pStyle w:val="BodyText"/>
        <w:ind w:left="0"/>
      </w:pPr>
      <w:r>
        <w:t xml:space="preserve">Subtask 2.3 will focus on public outreach and engagement for the initial SVID Pilot Project and the broader expansion of groundwater recharge implementation in Scott Valley. </w:t>
      </w:r>
      <w:r w:rsidR="007508E4">
        <w:t xml:space="preserve">This includes </w:t>
      </w:r>
      <w:r w:rsidR="00271A74">
        <w:t xml:space="preserve">discussions with key agencies including SVID and the State Water Board in addition to general outreach to Scott Valley residents. </w:t>
      </w:r>
    </w:p>
    <w:p w14:paraId="511983EF" w14:textId="77777777" w:rsidR="0070270B" w:rsidRPr="00D976B7" w:rsidRDefault="0070270B" w:rsidP="00410DA4">
      <w:pPr>
        <w:pStyle w:val="BodyText"/>
        <w:ind w:left="0"/>
      </w:pPr>
    </w:p>
    <w:p w14:paraId="6562B396" w14:textId="31DFF14E" w:rsidR="00387D73" w:rsidRDefault="00001EB1" w:rsidP="004E2363">
      <w:pPr>
        <w:pStyle w:val="BodyText"/>
        <w:ind w:left="0"/>
        <w:rPr>
          <w:i/>
          <w:iCs/>
        </w:rPr>
      </w:pPr>
      <w:r>
        <w:rPr>
          <w:i/>
          <w:iCs/>
        </w:rPr>
        <w:t>Task 3:</w:t>
      </w:r>
      <w:r w:rsidR="006A39AC">
        <w:rPr>
          <w:i/>
          <w:iCs/>
        </w:rPr>
        <w:t xml:space="preserve"> </w:t>
      </w:r>
      <w:r w:rsidR="00387D73">
        <w:rPr>
          <w:i/>
          <w:iCs/>
        </w:rPr>
        <w:t xml:space="preserve">Monitoring </w:t>
      </w:r>
    </w:p>
    <w:p w14:paraId="704E2039" w14:textId="319B3CCD" w:rsidR="00FC7170" w:rsidRDefault="00FC7170" w:rsidP="004E2363">
      <w:pPr>
        <w:pStyle w:val="BodyText"/>
        <w:ind w:left="0"/>
      </w:pPr>
      <w:r>
        <w:t xml:space="preserve">Subtask </w:t>
      </w:r>
      <w:r w:rsidR="00511CBB">
        <w:t>3</w:t>
      </w:r>
      <w:r>
        <w:t>.</w:t>
      </w:r>
      <w:r w:rsidR="004119D3">
        <w:t>1</w:t>
      </w:r>
      <w:r w:rsidR="00655EE6">
        <w:t xml:space="preserve"> Installation and maintenance of</w:t>
      </w:r>
      <w:r w:rsidR="001B123F">
        <w:t xml:space="preserve"> </w:t>
      </w:r>
      <w:commentRangeStart w:id="0"/>
      <w:r w:rsidR="00655EE6">
        <w:t xml:space="preserve">instream flow stations </w:t>
      </w:r>
      <w:commentRangeEnd w:id="0"/>
      <w:r w:rsidR="002229E4">
        <w:rPr>
          <w:rStyle w:val="CommentReference"/>
          <w:rFonts w:asciiTheme="minorHAnsi" w:eastAsiaTheme="minorHAnsi" w:hAnsiTheme="minorHAnsi" w:cstheme="minorBidi"/>
          <w:b w:val="0"/>
          <w:bCs w:val="0"/>
        </w:rPr>
        <w:commentReference w:id="0"/>
      </w:r>
    </w:p>
    <w:p w14:paraId="2265117F" w14:textId="7B3BA75F" w:rsidR="003D2CD3" w:rsidRDefault="003D2CD3" w:rsidP="004E2363">
      <w:pPr>
        <w:pStyle w:val="BodyText"/>
        <w:ind w:left="0"/>
      </w:pPr>
      <w:r>
        <w:t xml:space="preserve">At least two instream flow stations are planned for </w:t>
      </w:r>
      <w:r w:rsidR="00032A6C">
        <w:t>implementation.</w:t>
      </w:r>
      <w:r w:rsidR="00B14D7E">
        <w:t xml:space="preserve"> </w:t>
      </w:r>
      <w:r w:rsidR="00B33A8C">
        <w:t>This task</w:t>
      </w:r>
      <w:r w:rsidR="00B14D7E">
        <w:t xml:space="preserve"> involves any equipment and personnel required for installation of these stations and </w:t>
      </w:r>
      <w:r w:rsidR="00B703B5">
        <w:t xml:space="preserve">any maintenance </w:t>
      </w:r>
      <w:r w:rsidR="00C46CF4">
        <w:t>required</w:t>
      </w:r>
      <w:r w:rsidR="00B703B5">
        <w:t xml:space="preserve">. </w:t>
      </w:r>
    </w:p>
    <w:p w14:paraId="26126C3A" w14:textId="7140E877" w:rsidR="00387D73" w:rsidRDefault="00FC7170" w:rsidP="004E2363">
      <w:pPr>
        <w:pStyle w:val="BodyText"/>
        <w:ind w:left="0"/>
      </w:pPr>
      <w:r>
        <w:t xml:space="preserve">Subtask </w:t>
      </w:r>
      <w:r w:rsidR="00511CBB">
        <w:t>3</w:t>
      </w:r>
      <w:r>
        <w:t>.</w:t>
      </w:r>
      <w:r w:rsidR="004119D3">
        <w:t>2</w:t>
      </w:r>
      <w:r>
        <w:t xml:space="preserve"> </w:t>
      </w:r>
      <w:r w:rsidR="004E6DC7">
        <w:t xml:space="preserve">Monitoring </w:t>
      </w:r>
      <w:r w:rsidR="008D6712">
        <w:t>w</w:t>
      </w:r>
      <w:r w:rsidR="00FA08F4">
        <w:t xml:space="preserve">ells </w:t>
      </w:r>
      <w:r w:rsidR="00E72F74">
        <w:t>a</w:t>
      </w:r>
      <w:r w:rsidR="009F2635">
        <w:t>nd maintenance</w:t>
      </w:r>
      <w:r w:rsidR="00852E0D">
        <w:t xml:space="preserve"> </w:t>
      </w:r>
    </w:p>
    <w:p w14:paraId="45373300" w14:textId="44B2698E" w:rsidR="008B1EDB" w:rsidRDefault="00CA5CCD" w:rsidP="004E2363">
      <w:pPr>
        <w:pStyle w:val="BodyText"/>
        <w:ind w:left="0"/>
      </w:pPr>
      <w:r>
        <w:t>A</w:t>
      </w:r>
      <w:r w:rsidR="00176D2B">
        <w:t>t least five</w:t>
      </w:r>
      <w:r>
        <w:t xml:space="preserve"> monitoring wells will be </w:t>
      </w:r>
      <w:r w:rsidR="00355C7B">
        <w:t>instrumented</w:t>
      </w:r>
      <w:r w:rsidR="0065024B">
        <w:t xml:space="preserve"> with pressure transducers</w:t>
      </w:r>
      <w:r w:rsidR="00DE19A0">
        <w:t>, connected via telemetry</w:t>
      </w:r>
      <w:r w:rsidR="0065024B">
        <w:t xml:space="preserve"> to</w:t>
      </w:r>
      <w:r w:rsidR="00C83BC0">
        <w:t xml:space="preserve"> monitor continuous </w:t>
      </w:r>
      <w:r w:rsidR="00932016">
        <w:t>groundwater levels</w:t>
      </w:r>
      <w:r w:rsidR="0065024B">
        <w:t>.</w:t>
      </w:r>
      <w:r w:rsidR="00D6214A">
        <w:t xml:space="preserve"> </w:t>
      </w:r>
      <w:r w:rsidR="00A84AD0">
        <w:t xml:space="preserve">Between five and ten of </w:t>
      </w:r>
      <w:r w:rsidR="00AA59C6">
        <w:t xml:space="preserve">wells in the monitoring network </w:t>
      </w:r>
      <w:r w:rsidR="00A84AD0">
        <w:t xml:space="preserve">will </w:t>
      </w:r>
      <w:r w:rsidR="00254D5C">
        <w:t xml:space="preserve">also be outfitted </w:t>
      </w:r>
      <w:r w:rsidR="00211FD9">
        <w:t>to measure</w:t>
      </w:r>
      <w:r w:rsidR="00254D5C">
        <w:t xml:space="preserve"> </w:t>
      </w:r>
      <w:r w:rsidR="001978CF">
        <w:t>electrical conductivity</w:t>
      </w:r>
      <w:r w:rsidR="00254D5C">
        <w:t xml:space="preserve">. </w:t>
      </w:r>
      <w:r w:rsidR="0065024B">
        <w:t xml:space="preserve"> </w:t>
      </w:r>
      <w:r w:rsidR="00EA43E4">
        <w:t xml:space="preserve">Additionally, </w:t>
      </w:r>
      <w:r w:rsidR="00B13FAE">
        <w:t>at least five shallow piezometers</w:t>
      </w:r>
      <w:r w:rsidR="001D4231">
        <w:t xml:space="preserve"> will be </w:t>
      </w:r>
      <w:r w:rsidR="003E7FD0">
        <w:t>installed</w:t>
      </w:r>
      <w:r w:rsidR="008F2407">
        <w:t xml:space="preserve"> to form transects across Scott </w:t>
      </w:r>
      <w:r w:rsidR="00D539B9">
        <w:t>River.</w:t>
      </w:r>
      <w:r w:rsidR="003E7FD0">
        <w:t xml:space="preserve"> This</w:t>
      </w:r>
      <w:r w:rsidR="00EE3F10">
        <w:t xml:space="preserve"> task </w:t>
      </w:r>
      <w:r w:rsidR="006B7767">
        <w:t xml:space="preserve">includes </w:t>
      </w:r>
      <w:r w:rsidR="00EE3F10">
        <w:t xml:space="preserve">the labor and materials to </w:t>
      </w:r>
      <w:r w:rsidR="00BA5AE9">
        <w:t>instrument</w:t>
      </w:r>
      <w:r w:rsidR="00EE3F10">
        <w:t xml:space="preserve"> these wells and quar</w:t>
      </w:r>
      <w:r w:rsidR="00155065">
        <w:t xml:space="preserve">terly </w:t>
      </w:r>
      <w:r w:rsidR="001F397C">
        <w:t xml:space="preserve">site visits, as well as any maintenance required. </w:t>
      </w:r>
    </w:p>
    <w:p w14:paraId="7BE691DD" w14:textId="110DAC8B" w:rsidR="00511CBB" w:rsidRDefault="00511CBB" w:rsidP="004E2363">
      <w:pPr>
        <w:pStyle w:val="BodyText"/>
        <w:ind w:left="0"/>
      </w:pPr>
    </w:p>
    <w:p w14:paraId="54A10458" w14:textId="31536E86" w:rsidR="006558BD" w:rsidRDefault="006558BD" w:rsidP="004E2363">
      <w:pPr>
        <w:pStyle w:val="BodyText"/>
        <w:ind w:left="0"/>
      </w:pPr>
      <w:commentRangeStart w:id="1"/>
      <w:r>
        <w:t>Subtask 3.3</w:t>
      </w:r>
      <w:r w:rsidR="00776932">
        <w:t xml:space="preserve"> </w:t>
      </w:r>
      <w:r w:rsidR="00FF7EB7">
        <w:t xml:space="preserve">Maintenance of existing monitoring </w:t>
      </w:r>
      <w:r w:rsidR="00C059D9">
        <w:t xml:space="preserve">infrastructure </w:t>
      </w:r>
    </w:p>
    <w:p w14:paraId="68C3E591" w14:textId="664E2AE0" w:rsidR="00C059D9" w:rsidRDefault="00C22893" w:rsidP="004E2363">
      <w:pPr>
        <w:pStyle w:val="BodyText"/>
        <w:ind w:left="0"/>
      </w:pPr>
      <w:r>
        <w:t xml:space="preserve">This task involves continued maintenance, </w:t>
      </w:r>
      <w:r w:rsidR="00660CE1">
        <w:t xml:space="preserve">site visits, and troubleshooting for the existing monitoring network associated with the SVID Recharge Pilot project. </w:t>
      </w:r>
      <w:commentRangeEnd w:id="1"/>
      <w:r w:rsidR="00742B9C">
        <w:rPr>
          <w:rStyle w:val="CommentReference"/>
          <w:rFonts w:asciiTheme="minorHAnsi" w:eastAsiaTheme="minorHAnsi" w:hAnsiTheme="minorHAnsi" w:cstheme="minorBidi"/>
          <w:b w:val="0"/>
          <w:bCs w:val="0"/>
        </w:rPr>
        <w:commentReference w:id="1"/>
      </w:r>
    </w:p>
    <w:p w14:paraId="5FCFADF6" w14:textId="297F1691" w:rsidR="004D64DE" w:rsidRDefault="004D64DE" w:rsidP="004E2363">
      <w:pPr>
        <w:pStyle w:val="BodyText"/>
        <w:ind w:left="0"/>
      </w:pPr>
    </w:p>
    <w:p w14:paraId="0B9185EE" w14:textId="77777777" w:rsidR="00750490" w:rsidRPr="007074CC" w:rsidRDefault="00750490" w:rsidP="004E2363">
      <w:pPr>
        <w:pStyle w:val="BodyText"/>
        <w:ind w:left="0"/>
      </w:pPr>
    </w:p>
    <w:p w14:paraId="31DAC20F" w14:textId="05AE76BC" w:rsidR="00387D73" w:rsidRDefault="00387D73" w:rsidP="004E2363">
      <w:pPr>
        <w:pStyle w:val="BodyText"/>
        <w:ind w:left="0"/>
        <w:rPr>
          <w:i/>
          <w:iCs/>
        </w:rPr>
      </w:pPr>
      <w:r>
        <w:rPr>
          <w:i/>
          <w:iCs/>
        </w:rPr>
        <w:lastRenderedPageBreak/>
        <w:t xml:space="preserve">Task 3: Recharge </w:t>
      </w:r>
    </w:p>
    <w:p w14:paraId="6CAB212C" w14:textId="52E08151" w:rsidR="00036D6C" w:rsidRDefault="00CC2FC5" w:rsidP="007D3372">
      <w:pPr>
        <w:rPr>
          <w:rFonts w:ascii="Times New Roman" w:hAnsi="Times New Roman" w:cs="Times New Roman"/>
          <w:b/>
          <w:bCs/>
        </w:rPr>
      </w:pPr>
      <w:r>
        <w:rPr>
          <w:rFonts w:ascii="Times New Roman" w:hAnsi="Times New Roman" w:cs="Times New Roman"/>
          <w:b/>
          <w:bCs/>
        </w:rPr>
        <w:t xml:space="preserve">If flows in Scott River are sufficient January to March 2023, recharge is anticipated to be conducted. </w:t>
      </w:r>
      <w:r w:rsidR="000C2B7D">
        <w:rPr>
          <w:rFonts w:ascii="Times New Roman" w:hAnsi="Times New Roman" w:cs="Times New Roman"/>
          <w:b/>
          <w:bCs/>
        </w:rPr>
        <w:t xml:space="preserve">This project will divert surface water through the SVID conveyance system and apply water to selected sites </w:t>
      </w:r>
      <w:r w:rsidR="0008273F">
        <w:rPr>
          <w:rFonts w:ascii="Times New Roman" w:hAnsi="Times New Roman" w:cs="Times New Roman"/>
          <w:b/>
          <w:bCs/>
        </w:rPr>
        <w:t>during the non</w:t>
      </w:r>
      <w:r w:rsidR="00561721">
        <w:rPr>
          <w:rFonts w:ascii="Times New Roman" w:hAnsi="Times New Roman" w:cs="Times New Roman"/>
          <w:b/>
          <w:bCs/>
        </w:rPr>
        <w:t>-</w:t>
      </w:r>
      <w:r w:rsidR="0008273F">
        <w:rPr>
          <w:rFonts w:ascii="Times New Roman" w:hAnsi="Times New Roman" w:cs="Times New Roman"/>
          <w:b/>
          <w:bCs/>
        </w:rPr>
        <w:t xml:space="preserve">irrigation season. </w:t>
      </w:r>
    </w:p>
    <w:p w14:paraId="6FA6E9D8" w14:textId="77777777" w:rsidR="00562C0A" w:rsidRPr="007D3372" w:rsidRDefault="00562C0A" w:rsidP="007D3372">
      <w:pPr>
        <w:rPr>
          <w:rFonts w:ascii="Times New Roman" w:hAnsi="Times New Roman" w:cs="Times New Roman"/>
          <w:b/>
          <w:bCs/>
        </w:rPr>
      </w:pPr>
    </w:p>
    <w:p w14:paraId="5C264425" w14:textId="25724874" w:rsidR="00FC1F5B" w:rsidRDefault="00FC1F5B" w:rsidP="004E2363">
      <w:pPr>
        <w:pStyle w:val="BodyText"/>
        <w:ind w:left="0"/>
      </w:pPr>
      <w:r>
        <w:t>Task 3.</w:t>
      </w:r>
      <w:r w:rsidR="00677909">
        <w:t xml:space="preserve">1 </w:t>
      </w:r>
      <w:r w:rsidR="007074CC">
        <w:t xml:space="preserve">Installation of infrastructure required </w:t>
      </w:r>
    </w:p>
    <w:p w14:paraId="2C525F09" w14:textId="59699348" w:rsidR="001E0A98" w:rsidRDefault="001D4876" w:rsidP="004E2363">
      <w:pPr>
        <w:pStyle w:val="BodyText"/>
        <w:ind w:left="0"/>
      </w:pPr>
      <w:r>
        <w:t xml:space="preserve">This task involves installation and maintenance of any infrastructure required to conduct groundwater </w:t>
      </w:r>
      <w:r w:rsidR="001B0590">
        <w:t>recharge</w:t>
      </w:r>
      <w:r>
        <w:t>. This may include pump stations</w:t>
      </w:r>
      <w:r w:rsidR="001B0590">
        <w:t xml:space="preserve">, </w:t>
      </w:r>
      <w:r w:rsidR="007B500D">
        <w:t>PVC,</w:t>
      </w:r>
      <w:r w:rsidR="009E40A5">
        <w:t xml:space="preserve"> and fittings, and measuring weirs</w:t>
      </w:r>
      <w:r w:rsidR="00B53091">
        <w:t xml:space="preserve">. </w:t>
      </w:r>
      <w:r w:rsidR="003B3EAF">
        <w:t>Required infrastructure will be site-specific</w:t>
      </w:r>
      <w:r w:rsidR="00DF31BC">
        <w:t xml:space="preserve">. </w:t>
      </w:r>
      <w:commentRangeStart w:id="2"/>
      <w:r w:rsidR="00452882">
        <w:t xml:space="preserve">Infrastructure </w:t>
      </w:r>
      <w:r w:rsidR="00541A20">
        <w:t>for measuring the volume of water applied at each recharge site is necessary</w:t>
      </w:r>
      <w:r w:rsidR="00720593">
        <w:t xml:space="preserve">. </w:t>
      </w:r>
      <w:commentRangeEnd w:id="2"/>
      <w:r w:rsidR="00B950FC">
        <w:rPr>
          <w:rStyle w:val="CommentReference"/>
          <w:rFonts w:asciiTheme="minorHAnsi" w:eastAsiaTheme="minorHAnsi" w:hAnsiTheme="minorHAnsi" w:cstheme="minorBidi"/>
          <w:b w:val="0"/>
          <w:bCs w:val="0"/>
        </w:rPr>
        <w:commentReference w:id="2"/>
      </w:r>
    </w:p>
    <w:p w14:paraId="00C39506" w14:textId="1EFEFD8E" w:rsidR="007074CC" w:rsidRDefault="007074CC" w:rsidP="004E2363">
      <w:pPr>
        <w:pStyle w:val="BodyText"/>
        <w:ind w:left="0"/>
      </w:pPr>
      <w:r>
        <w:t>Task 3.</w:t>
      </w:r>
      <w:r w:rsidR="00677909">
        <w:t xml:space="preserve">2 </w:t>
      </w:r>
      <w:r w:rsidR="0025046A">
        <w:t xml:space="preserve">Recharge Implementation </w:t>
      </w:r>
    </w:p>
    <w:p w14:paraId="7C82B551" w14:textId="7B5AEFC3" w:rsidR="00B87749" w:rsidRDefault="0025046A" w:rsidP="0025046A">
      <w:pPr>
        <w:rPr>
          <w:rFonts w:ascii="Times New Roman" w:hAnsi="Times New Roman" w:cs="Times New Roman"/>
          <w:b/>
          <w:bCs/>
        </w:rPr>
      </w:pPr>
      <w:r>
        <w:rPr>
          <w:rFonts w:ascii="Times New Roman" w:hAnsi="Times New Roman" w:cs="Times New Roman"/>
          <w:b/>
          <w:bCs/>
        </w:rPr>
        <w:t xml:space="preserve">This task involves monitoring instream flows to identify periods where diversion is possible, diverting water, </w:t>
      </w:r>
      <w:r w:rsidR="00D82BA8">
        <w:rPr>
          <w:rFonts w:ascii="Times New Roman" w:hAnsi="Times New Roman" w:cs="Times New Roman"/>
          <w:b/>
          <w:bCs/>
        </w:rPr>
        <w:t xml:space="preserve">and application of water onto selected sites. </w:t>
      </w:r>
      <w:r w:rsidR="00E64992">
        <w:rPr>
          <w:rFonts w:ascii="Times New Roman" w:hAnsi="Times New Roman" w:cs="Times New Roman"/>
          <w:b/>
          <w:bCs/>
        </w:rPr>
        <w:t xml:space="preserve">During the recharge implementation the infiltration </w:t>
      </w:r>
      <w:r w:rsidR="00CF59D4">
        <w:rPr>
          <w:rFonts w:ascii="Times New Roman" w:hAnsi="Times New Roman" w:cs="Times New Roman"/>
          <w:b/>
          <w:bCs/>
        </w:rPr>
        <w:t xml:space="preserve">estimates will be completed. </w:t>
      </w:r>
    </w:p>
    <w:p w14:paraId="29FD217E" w14:textId="38B202E5" w:rsidR="009B7E49" w:rsidRPr="0038543F" w:rsidRDefault="0025046A" w:rsidP="0038543F">
      <w:pPr>
        <w:rPr>
          <w:rFonts w:ascii="Times New Roman" w:hAnsi="Times New Roman" w:cs="Times New Roman"/>
          <w:b/>
          <w:bCs/>
        </w:rPr>
      </w:pPr>
      <w:r>
        <w:rPr>
          <w:rFonts w:ascii="Times New Roman" w:hAnsi="Times New Roman" w:cs="Times New Roman"/>
          <w:b/>
          <w:bCs/>
        </w:rPr>
        <w:t xml:space="preserve"> </w:t>
      </w:r>
    </w:p>
    <w:p w14:paraId="4B8A655B" w14:textId="50F002C4" w:rsidR="00B15496" w:rsidRDefault="00387D73" w:rsidP="004E2363">
      <w:pPr>
        <w:pStyle w:val="BodyText"/>
        <w:ind w:left="0"/>
        <w:rPr>
          <w:i/>
          <w:iCs/>
        </w:rPr>
      </w:pPr>
      <w:r>
        <w:rPr>
          <w:i/>
          <w:iCs/>
        </w:rPr>
        <w:t xml:space="preserve">Task 4: Water Rights </w:t>
      </w:r>
    </w:p>
    <w:p w14:paraId="5D93D55A" w14:textId="3EEB210B" w:rsidR="00BA032B" w:rsidRDefault="00B15496" w:rsidP="004E2363">
      <w:pPr>
        <w:pStyle w:val="BodyText"/>
        <w:ind w:left="0"/>
      </w:pPr>
      <w:r>
        <w:t xml:space="preserve">Subtask 4.1 </w:t>
      </w:r>
      <w:r w:rsidR="00394BAC">
        <w:t xml:space="preserve">will </w:t>
      </w:r>
      <w:r w:rsidR="00F35F2D">
        <w:t xml:space="preserve">include annual applications for temporary water rights permits for groundwater recharge </w:t>
      </w:r>
      <w:r w:rsidR="003375EF">
        <w:t xml:space="preserve">from the State Water Board. This task is anticipated to </w:t>
      </w:r>
      <w:r w:rsidR="00E71C98">
        <w:t xml:space="preserve">continue until a permanent permit for groundwater recharge is obtained. </w:t>
      </w:r>
      <w:r w:rsidR="005F220A">
        <w:t>The temporary permit for this year (approved March 202</w:t>
      </w:r>
      <w:r w:rsidR="00920B10">
        <w:t>2</w:t>
      </w:r>
      <w:r w:rsidR="005F220A">
        <w:t>) will be modified</w:t>
      </w:r>
      <w:r w:rsidR="00E62AA9">
        <w:t xml:space="preserve"> and submitted for approval for recharge implementation in winter 2023. </w:t>
      </w:r>
    </w:p>
    <w:p w14:paraId="7E3F022A" w14:textId="68986044" w:rsidR="0070270B" w:rsidRPr="0038543F" w:rsidRDefault="00E71C98" w:rsidP="0038543F">
      <w:pPr>
        <w:pStyle w:val="BodyText"/>
        <w:ind w:left="0"/>
      </w:pPr>
      <w:r>
        <w:t xml:space="preserve">Subtask 4.2 will be completed in </w:t>
      </w:r>
      <w:r w:rsidR="007E6916">
        <w:t xml:space="preserve">parallel to subtask 4.1. </w:t>
      </w:r>
      <w:r w:rsidR="007D0C14">
        <w:t xml:space="preserve">This task includes work towards obtaining a permanent permit for groundwater </w:t>
      </w:r>
      <w:r w:rsidR="00E7785C">
        <w:t>recharge</w:t>
      </w:r>
      <w:r w:rsidR="007D0C14">
        <w:t xml:space="preserve">. This may include conducting environmental impact studies to comply with </w:t>
      </w:r>
      <w:r w:rsidR="00230B0B">
        <w:t>CEQA</w:t>
      </w:r>
      <w:r w:rsidR="00D776A9">
        <w:t xml:space="preserve">, discussions with the State Water Board and </w:t>
      </w:r>
      <w:r w:rsidR="00103DB9">
        <w:t xml:space="preserve">provision of other information, as required </w:t>
      </w:r>
      <w:r w:rsidR="00B900BF">
        <w:t>by the</w:t>
      </w:r>
      <w:r w:rsidR="00103DB9">
        <w:t xml:space="preserve"> </w:t>
      </w:r>
      <w:r w:rsidR="00AB18DE">
        <w:t xml:space="preserve">permit </w:t>
      </w:r>
      <w:r w:rsidR="00103DB9">
        <w:t>application.</w:t>
      </w:r>
    </w:p>
    <w:p w14:paraId="39BC0CAC" w14:textId="77777777" w:rsidR="0070270B" w:rsidRPr="00410DA4" w:rsidRDefault="0070270B" w:rsidP="00410DA4">
      <w:pPr>
        <w:pStyle w:val="BodyText"/>
        <w:ind w:left="0"/>
      </w:pPr>
    </w:p>
    <w:p w14:paraId="029D6F72" w14:textId="42F33708" w:rsidR="0006376C" w:rsidRDefault="0006376C" w:rsidP="00A71AA6">
      <w:pPr>
        <w:pStyle w:val="ListParagraph"/>
        <w:numPr>
          <w:ilvl w:val="0"/>
          <w:numId w:val="3"/>
        </w:numPr>
        <w:rPr>
          <w:rFonts w:ascii="Times New Roman" w:hAnsi="Times New Roman" w:cs="Times New Roman"/>
        </w:rPr>
      </w:pPr>
      <w:r w:rsidRPr="00A71AA6">
        <w:rPr>
          <w:rFonts w:ascii="Times New Roman" w:hAnsi="Times New Roman" w:cs="Times New Roman"/>
        </w:rPr>
        <w:t>Does this project respond to an existing emergency to humans and/or wildlife? If s</w:t>
      </w:r>
      <w:r w:rsidR="00C373D4">
        <w:rPr>
          <w:rFonts w:ascii="Times New Roman" w:hAnsi="Times New Roman" w:cs="Times New Roman"/>
        </w:rPr>
        <w:t xml:space="preserve">o, please describe the emergency and how this project is addressing it. </w:t>
      </w:r>
    </w:p>
    <w:p w14:paraId="264FB93C" w14:textId="77777777" w:rsidR="00E936E6" w:rsidRDefault="00E936E6" w:rsidP="00E936E6">
      <w:pPr>
        <w:rPr>
          <w:rFonts w:cstheme="minorHAnsi"/>
          <w:b/>
          <w:bCs/>
          <w:noProof/>
        </w:rPr>
      </w:pPr>
    </w:p>
    <w:p w14:paraId="20728936" w14:textId="06951139" w:rsidR="00817787" w:rsidRDefault="00E936E6" w:rsidP="00E936E6">
      <w:pPr>
        <w:rPr>
          <w:rFonts w:ascii="Times New Roman" w:hAnsi="Times New Roman" w:cs="Times New Roman"/>
          <w:b/>
          <w:bCs/>
          <w:noProof/>
        </w:rPr>
      </w:pPr>
      <w:r w:rsidRPr="00E936E6">
        <w:rPr>
          <w:rFonts w:ascii="Times New Roman" w:hAnsi="Times New Roman" w:cs="Times New Roman"/>
          <w:b/>
          <w:bCs/>
          <w:noProof/>
        </w:rPr>
        <w:t>This project primarily</w:t>
      </w:r>
      <w:r w:rsidR="00962C41">
        <w:rPr>
          <w:rFonts w:ascii="Times New Roman" w:hAnsi="Times New Roman" w:cs="Times New Roman"/>
          <w:b/>
          <w:bCs/>
          <w:noProof/>
        </w:rPr>
        <w:t xml:space="preserve"> responds to </w:t>
      </w:r>
      <w:r w:rsidR="001350E5">
        <w:rPr>
          <w:rFonts w:ascii="Times New Roman" w:hAnsi="Times New Roman" w:cs="Times New Roman"/>
          <w:b/>
          <w:bCs/>
          <w:noProof/>
        </w:rPr>
        <w:t>existing water sup</w:t>
      </w:r>
      <w:r w:rsidR="0095532E">
        <w:rPr>
          <w:rFonts w:ascii="Times New Roman" w:hAnsi="Times New Roman" w:cs="Times New Roman"/>
          <w:b/>
          <w:bCs/>
          <w:noProof/>
        </w:rPr>
        <w:t>p</w:t>
      </w:r>
      <w:r w:rsidR="001B5C3F">
        <w:rPr>
          <w:rFonts w:ascii="Times New Roman" w:hAnsi="Times New Roman" w:cs="Times New Roman"/>
          <w:b/>
          <w:bCs/>
          <w:noProof/>
        </w:rPr>
        <w:t>l</w:t>
      </w:r>
      <w:r w:rsidR="001350E5">
        <w:rPr>
          <w:rFonts w:ascii="Times New Roman" w:hAnsi="Times New Roman" w:cs="Times New Roman"/>
          <w:b/>
          <w:bCs/>
          <w:noProof/>
        </w:rPr>
        <w:t>y and security concerns</w:t>
      </w:r>
      <w:r w:rsidR="00A2004D">
        <w:rPr>
          <w:rFonts w:ascii="Times New Roman" w:hAnsi="Times New Roman" w:cs="Times New Roman"/>
          <w:b/>
          <w:bCs/>
          <w:noProof/>
        </w:rPr>
        <w:t>,</w:t>
      </w:r>
      <w:r w:rsidR="001350E5">
        <w:rPr>
          <w:rFonts w:ascii="Times New Roman" w:hAnsi="Times New Roman" w:cs="Times New Roman"/>
          <w:b/>
          <w:bCs/>
          <w:noProof/>
        </w:rPr>
        <w:t xml:space="preserve"> </w:t>
      </w:r>
      <w:r w:rsidR="00D604A2">
        <w:rPr>
          <w:rFonts w:ascii="Times New Roman" w:hAnsi="Times New Roman" w:cs="Times New Roman"/>
          <w:b/>
          <w:bCs/>
          <w:noProof/>
        </w:rPr>
        <w:t>threatening the economic and physical healt</w:t>
      </w:r>
      <w:r w:rsidR="001B5C3F">
        <w:rPr>
          <w:rFonts w:ascii="Times New Roman" w:hAnsi="Times New Roman" w:cs="Times New Roman"/>
          <w:b/>
          <w:bCs/>
          <w:noProof/>
        </w:rPr>
        <w:t>h</w:t>
      </w:r>
      <w:r w:rsidR="00D604A2">
        <w:rPr>
          <w:rFonts w:ascii="Times New Roman" w:hAnsi="Times New Roman" w:cs="Times New Roman"/>
          <w:b/>
          <w:bCs/>
          <w:noProof/>
        </w:rPr>
        <w:t xml:space="preserve"> of residents</w:t>
      </w:r>
      <w:r w:rsidR="00FA25B8">
        <w:rPr>
          <w:rFonts w:ascii="Times New Roman" w:hAnsi="Times New Roman" w:cs="Times New Roman"/>
          <w:b/>
          <w:bCs/>
          <w:noProof/>
        </w:rPr>
        <w:t xml:space="preserve"> and ecoystem health</w:t>
      </w:r>
      <w:r w:rsidR="00D604A2">
        <w:rPr>
          <w:rFonts w:ascii="Times New Roman" w:hAnsi="Times New Roman" w:cs="Times New Roman"/>
          <w:b/>
          <w:bCs/>
          <w:noProof/>
        </w:rPr>
        <w:t xml:space="preserve">. </w:t>
      </w:r>
      <w:r w:rsidR="0050122E">
        <w:rPr>
          <w:rFonts w:ascii="Times New Roman" w:hAnsi="Times New Roman" w:cs="Times New Roman"/>
          <w:b/>
          <w:bCs/>
          <w:noProof/>
        </w:rPr>
        <w:t xml:space="preserve">Existing impacts due to drought conditions are discussed in detail in response to Question #12. </w:t>
      </w:r>
      <w:r w:rsidR="009F18E3">
        <w:rPr>
          <w:rFonts w:ascii="Times New Roman" w:hAnsi="Times New Roman" w:cs="Times New Roman"/>
          <w:b/>
          <w:bCs/>
          <w:noProof/>
        </w:rPr>
        <w:t>Through</w:t>
      </w:r>
      <w:r w:rsidR="00AD7760">
        <w:rPr>
          <w:rFonts w:ascii="Times New Roman" w:hAnsi="Times New Roman" w:cs="Times New Roman"/>
          <w:b/>
          <w:bCs/>
          <w:noProof/>
        </w:rPr>
        <w:t xml:space="preserve"> implementing groundwater recharge, this project addresses </w:t>
      </w:r>
      <w:r w:rsidR="00AF6DE8">
        <w:rPr>
          <w:rFonts w:ascii="Times New Roman" w:hAnsi="Times New Roman" w:cs="Times New Roman"/>
          <w:b/>
          <w:bCs/>
          <w:noProof/>
        </w:rPr>
        <w:t>the depl</w:t>
      </w:r>
      <w:r w:rsidR="00F348B3">
        <w:rPr>
          <w:rFonts w:ascii="Times New Roman" w:hAnsi="Times New Roman" w:cs="Times New Roman"/>
          <w:b/>
          <w:bCs/>
          <w:noProof/>
        </w:rPr>
        <w:t xml:space="preserve">etions in streamflow in Scott River and associated ecological impacts. Additionally, this project </w:t>
      </w:r>
      <w:r w:rsidR="00C02E8B">
        <w:rPr>
          <w:rFonts w:ascii="Times New Roman" w:hAnsi="Times New Roman" w:cs="Times New Roman"/>
          <w:b/>
          <w:bCs/>
          <w:noProof/>
        </w:rPr>
        <w:t xml:space="preserve">addresses decreases or disruptions in water supply </w:t>
      </w:r>
      <w:r w:rsidR="00FA216C">
        <w:rPr>
          <w:rFonts w:ascii="Times New Roman" w:hAnsi="Times New Roman" w:cs="Times New Roman"/>
          <w:b/>
          <w:bCs/>
          <w:noProof/>
        </w:rPr>
        <w:t xml:space="preserve">under drought conditions through </w:t>
      </w:r>
      <w:r w:rsidR="00D71D6B">
        <w:rPr>
          <w:rFonts w:ascii="Times New Roman" w:hAnsi="Times New Roman" w:cs="Times New Roman"/>
          <w:b/>
          <w:bCs/>
          <w:noProof/>
        </w:rPr>
        <w:t xml:space="preserve">augmenting </w:t>
      </w:r>
      <w:r w:rsidR="00FA216C">
        <w:rPr>
          <w:rFonts w:ascii="Times New Roman" w:hAnsi="Times New Roman" w:cs="Times New Roman"/>
          <w:b/>
          <w:bCs/>
          <w:noProof/>
        </w:rPr>
        <w:t xml:space="preserve">groundwater resources. </w:t>
      </w:r>
      <w:r w:rsidR="00C076DA">
        <w:rPr>
          <w:rFonts w:ascii="Times New Roman" w:hAnsi="Times New Roman" w:cs="Times New Roman"/>
          <w:b/>
          <w:bCs/>
          <w:noProof/>
        </w:rPr>
        <w:t xml:space="preserve"> </w:t>
      </w:r>
    </w:p>
    <w:p w14:paraId="2829DDDC" w14:textId="77777777" w:rsidR="001F19AB" w:rsidRDefault="001F19AB" w:rsidP="00E936E6">
      <w:pPr>
        <w:rPr>
          <w:rFonts w:ascii="Times New Roman" w:hAnsi="Times New Roman" w:cs="Times New Roman"/>
          <w:b/>
          <w:bCs/>
          <w:noProof/>
        </w:rPr>
      </w:pPr>
    </w:p>
    <w:p w14:paraId="7B4C9E2A" w14:textId="2266714F" w:rsidR="00D874E1" w:rsidRPr="004521C6" w:rsidRDefault="00860BB4" w:rsidP="004521C6">
      <w:pPr>
        <w:pStyle w:val="ListParagraph"/>
        <w:numPr>
          <w:ilvl w:val="0"/>
          <w:numId w:val="3"/>
        </w:numPr>
        <w:rPr>
          <w:rFonts w:ascii="Times New Roman" w:hAnsi="Times New Roman" w:cs="Times New Roman"/>
          <w:b/>
          <w:bCs/>
        </w:rPr>
      </w:pPr>
      <w:r>
        <w:rPr>
          <w:rFonts w:ascii="Times New Roman" w:hAnsi="Times New Roman" w:cs="Times New Roman"/>
        </w:rPr>
        <w:t xml:space="preserve">Each Project must meet one of the following purposes as it related to drought. Please select the appropriate purpose for your project. </w:t>
      </w:r>
    </w:p>
    <w:p w14:paraId="44392429" w14:textId="545BF8A0" w:rsidR="00432A43" w:rsidRPr="00AA15E1" w:rsidRDefault="005668D6" w:rsidP="00432A43">
      <w:pPr>
        <w:pStyle w:val="ListParagraph"/>
        <w:numPr>
          <w:ilvl w:val="1"/>
          <w:numId w:val="3"/>
        </w:numPr>
        <w:rPr>
          <w:rFonts w:ascii="Times New Roman" w:hAnsi="Times New Roman" w:cs="Times New Roman"/>
        </w:rPr>
      </w:pPr>
      <w:r w:rsidRPr="00AA15E1">
        <w:rPr>
          <w:rFonts w:ascii="Times New Roman" w:hAnsi="Times New Roman" w:cs="Times New Roman"/>
        </w:rPr>
        <w:t xml:space="preserve"> </w:t>
      </w:r>
      <w:r w:rsidR="00860BB4" w:rsidRPr="00AA15E1">
        <w:rPr>
          <w:rFonts w:ascii="Times New Roman" w:hAnsi="Times New Roman" w:cs="Times New Roman"/>
        </w:rPr>
        <w:t xml:space="preserve">Address immediate impacts on human health and safety, including providing or improving availability of </w:t>
      </w:r>
      <w:r w:rsidR="00432A43" w:rsidRPr="00AA15E1">
        <w:rPr>
          <w:rFonts w:ascii="Times New Roman" w:hAnsi="Times New Roman" w:cs="Times New Roman"/>
        </w:rPr>
        <w:t xml:space="preserve">food, water, or shelter. </w:t>
      </w:r>
      <w:r w:rsidR="000852EC">
        <w:rPr>
          <w:rFonts w:ascii="Times New Roman" w:hAnsi="Times New Roman" w:cs="Times New Roman"/>
          <w:noProof/>
        </w:rPr>
        <w:drawing>
          <wp:inline distT="0" distB="0" distL="0" distR="0" wp14:anchorId="675DEA77" wp14:editId="5856A012">
            <wp:extent cx="194553" cy="194553"/>
            <wp:effectExtent l="0" t="0" r="0" b="0"/>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4553" cy="194553"/>
                    </a:xfrm>
                    <a:prstGeom prst="rect">
                      <a:avLst/>
                    </a:prstGeom>
                  </pic:spPr>
                </pic:pic>
              </a:graphicData>
            </a:graphic>
          </wp:inline>
        </w:drawing>
      </w:r>
    </w:p>
    <w:p w14:paraId="792E0711" w14:textId="67F063E6" w:rsidR="00432A43" w:rsidRPr="00AA15E1" w:rsidRDefault="00432A43" w:rsidP="00432A43">
      <w:pPr>
        <w:pStyle w:val="ListParagraph"/>
        <w:numPr>
          <w:ilvl w:val="1"/>
          <w:numId w:val="3"/>
        </w:numPr>
        <w:rPr>
          <w:rFonts w:ascii="Times New Roman" w:hAnsi="Times New Roman" w:cs="Times New Roman"/>
        </w:rPr>
      </w:pPr>
      <w:r w:rsidRPr="00AA15E1">
        <w:rPr>
          <w:rFonts w:ascii="Times New Roman" w:hAnsi="Times New Roman" w:cs="Times New Roman"/>
        </w:rPr>
        <w:t xml:space="preserve">Address immediate impacts on </w:t>
      </w:r>
      <w:r w:rsidR="006155D0" w:rsidRPr="00AA15E1">
        <w:rPr>
          <w:rFonts w:ascii="Times New Roman" w:hAnsi="Times New Roman" w:cs="Times New Roman"/>
        </w:rPr>
        <w:t>fish</w:t>
      </w:r>
      <w:r w:rsidRPr="00AA15E1">
        <w:rPr>
          <w:rFonts w:ascii="Times New Roman" w:hAnsi="Times New Roman" w:cs="Times New Roman"/>
        </w:rPr>
        <w:t xml:space="preserve"> and wildlife resources. </w:t>
      </w:r>
      <w:r w:rsidR="00864189">
        <w:rPr>
          <w:rFonts w:ascii="Times New Roman" w:hAnsi="Times New Roman" w:cs="Times New Roman"/>
          <w:noProof/>
        </w:rPr>
        <w:drawing>
          <wp:inline distT="0" distB="0" distL="0" distR="0" wp14:anchorId="0C3566E5" wp14:editId="77B907B9">
            <wp:extent cx="194553" cy="194553"/>
            <wp:effectExtent l="0" t="0" r="0" b="0"/>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4553" cy="194553"/>
                    </a:xfrm>
                    <a:prstGeom prst="rect">
                      <a:avLst/>
                    </a:prstGeom>
                  </pic:spPr>
                </pic:pic>
              </a:graphicData>
            </a:graphic>
          </wp:inline>
        </w:drawing>
      </w:r>
    </w:p>
    <w:p w14:paraId="6A986779" w14:textId="48CB7356" w:rsidR="00432A43" w:rsidRPr="00AA15E1" w:rsidRDefault="00432A43" w:rsidP="00432A43">
      <w:pPr>
        <w:pStyle w:val="ListParagraph"/>
        <w:numPr>
          <w:ilvl w:val="1"/>
          <w:numId w:val="3"/>
        </w:numPr>
        <w:rPr>
          <w:rFonts w:ascii="Times New Roman" w:hAnsi="Times New Roman" w:cs="Times New Roman"/>
        </w:rPr>
      </w:pPr>
      <w:r w:rsidRPr="00AA15E1">
        <w:rPr>
          <w:rFonts w:ascii="Times New Roman" w:hAnsi="Times New Roman" w:cs="Times New Roman"/>
        </w:rPr>
        <w:lastRenderedPageBreak/>
        <w:t>Provide water to persons or communities that lose or are threatened with the loss or contamination of water resources</w:t>
      </w:r>
      <w:r w:rsidR="00CD40A8" w:rsidRPr="00AA15E1">
        <w:rPr>
          <w:rFonts w:ascii="Times New Roman" w:hAnsi="Times New Roman" w:cs="Times New Roman"/>
        </w:rPr>
        <w:t xml:space="preserve">. </w:t>
      </w:r>
      <w:r w:rsidR="00864189">
        <w:rPr>
          <w:rFonts w:ascii="Times New Roman" w:hAnsi="Times New Roman" w:cs="Times New Roman"/>
          <w:noProof/>
        </w:rPr>
        <w:drawing>
          <wp:inline distT="0" distB="0" distL="0" distR="0" wp14:anchorId="4014856E" wp14:editId="6E4FA8F8">
            <wp:extent cx="194553" cy="194553"/>
            <wp:effectExtent l="0" t="0" r="0" b="0"/>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4553" cy="194553"/>
                    </a:xfrm>
                    <a:prstGeom prst="rect">
                      <a:avLst/>
                    </a:prstGeom>
                  </pic:spPr>
                </pic:pic>
              </a:graphicData>
            </a:graphic>
          </wp:inline>
        </w:drawing>
      </w:r>
    </w:p>
    <w:p w14:paraId="2D6451A1" w14:textId="77777777" w:rsidR="008C491A" w:rsidRPr="007C7329" w:rsidRDefault="008C491A" w:rsidP="008C491A">
      <w:pPr>
        <w:pStyle w:val="ListParagraph"/>
        <w:ind w:left="1440"/>
        <w:rPr>
          <w:rFonts w:ascii="Times New Roman" w:hAnsi="Times New Roman" w:cs="Times New Roman"/>
          <w:b/>
          <w:bCs/>
        </w:rPr>
      </w:pPr>
    </w:p>
    <w:p w14:paraId="4C24262B" w14:textId="47B73B0E" w:rsidR="007C7329" w:rsidRPr="005668D6" w:rsidRDefault="007C7329" w:rsidP="007C7329">
      <w:pPr>
        <w:pStyle w:val="ListParagraph"/>
        <w:numPr>
          <w:ilvl w:val="0"/>
          <w:numId w:val="3"/>
        </w:numPr>
        <w:rPr>
          <w:rFonts w:ascii="Times New Roman" w:hAnsi="Times New Roman" w:cs="Times New Roman"/>
          <w:b/>
          <w:bCs/>
        </w:rPr>
      </w:pPr>
      <w:r>
        <w:rPr>
          <w:rFonts w:ascii="Times New Roman" w:hAnsi="Times New Roman" w:cs="Times New Roman"/>
        </w:rPr>
        <w:t>Each project must enhance regional drought resilience and align</w:t>
      </w:r>
      <w:r w:rsidR="00A314C6">
        <w:rPr>
          <w:rFonts w:ascii="Times New Roman" w:hAnsi="Times New Roman" w:cs="Times New Roman"/>
        </w:rPr>
        <w:t xml:space="preserve"> with the goals and objectives of the relevant approved Integrated Regional Water Management Plan. You can find the relevant IRWM Region by using the map at the following link: </w:t>
      </w:r>
      <w:hyperlink r:id="rId14" w:history="1">
        <w:r w:rsidR="005668D6" w:rsidRPr="0013722E">
          <w:rPr>
            <w:rStyle w:val="Hyperlink"/>
            <w:rFonts w:ascii="Times New Roman" w:hAnsi="Times New Roman" w:cs="Times New Roman"/>
          </w:rPr>
          <w:t>https://gis.water.ca.gov/app/dacs/</w:t>
        </w:r>
      </w:hyperlink>
    </w:p>
    <w:p w14:paraId="629E2B1A" w14:textId="77777777" w:rsidR="005668D6" w:rsidRDefault="005668D6" w:rsidP="005668D6">
      <w:pPr>
        <w:rPr>
          <w:rFonts w:ascii="Times New Roman" w:hAnsi="Times New Roman" w:cs="Times New Roman"/>
          <w:noProof/>
        </w:rPr>
      </w:pPr>
    </w:p>
    <w:p w14:paraId="41AEB601" w14:textId="09899F94" w:rsidR="005668D6" w:rsidRPr="00CB0527" w:rsidRDefault="005668D6" w:rsidP="00CB0527">
      <w:pPr>
        <w:rPr>
          <w:rFonts w:ascii="Times New Roman" w:hAnsi="Times New Roman" w:cs="Times New Roman"/>
          <w:b/>
          <w:bCs/>
          <w:noProof/>
        </w:rPr>
      </w:pPr>
      <w:r w:rsidRPr="00CB0527">
        <w:rPr>
          <w:rFonts w:ascii="Times New Roman" w:hAnsi="Times New Roman" w:cs="Times New Roman"/>
          <w:b/>
          <w:bCs/>
          <w:noProof/>
        </w:rPr>
        <w:t>The North Coast IRWM outlines six goals and their supporting objectives. This project addresses multiple objectives including: ensuring water supply reliability, protecting groundwater resources from overdrafting and contamination and the objectives under the ecosystem and conservation enhancement goal particulalry with conservation and enhancement of aquatic ecoystems and salmonid populations.</w:t>
      </w:r>
    </w:p>
    <w:p w14:paraId="3628202D" w14:textId="77777777" w:rsidR="005668D6" w:rsidRPr="005668D6" w:rsidRDefault="005668D6" w:rsidP="005668D6">
      <w:pPr>
        <w:ind w:firstLine="360"/>
        <w:rPr>
          <w:rFonts w:ascii="Times New Roman" w:hAnsi="Times New Roman" w:cs="Times New Roman"/>
          <w:b/>
          <w:bCs/>
        </w:rPr>
      </w:pPr>
    </w:p>
    <w:p w14:paraId="15A2C0D6" w14:textId="72FB3783" w:rsidR="00A314C6" w:rsidRPr="00ED17C9" w:rsidRDefault="00261EC2" w:rsidP="007C7329">
      <w:pPr>
        <w:pStyle w:val="ListParagraph"/>
        <w:numPr>
          <w:ilvl w:val="0"/>
          <w:numId w:val="3"/>
        </w:numPr>
        <w:rPr>
          <w:rFonts w:ascii="Times New Roman" w:hAnsi="Times New Roman" w:cs="Times New Roman"/>
          <w:b/>
          <w:bCs/>
        </w:rPr>
      </w:pPr>
      <w:r>
        <w:rPr>
          <w:rFonts w:ascii="Times New Roman" w:hAnsi="Times New Roman" w:cs="Times New Roman"/>
        </w:rPr>
        <w:t xml:space="preserve">Describe the Primary Benefit of the Project </w:t>
      </w:r>
    </w:p>
    <w:p w14:paraId="2A8DA33D" w14:textId="3DE21843" w:rsidR="00ED17C9" w:rsidRDefault="00ED17C9" w:rsidP="00ED17C9">
      <w:pPr>
        <w:rPr>
          <w:rFonts w:ascii="Times New Roman" w:hAnsi="Times New Roman" w:cs="Times New Roman"/>
          <w:b/>
          <w:bCs/>
        </w:rPr>
      </w:pPr>
    </w:p>
    <w:p w14:paraId="25C9869A" w14:textId="58E61F31" w:rsidR="00ED17C9" w:rsidRPr="00C00A62" w:rsidRDefault="00ED17C9" w:rsidP="00ED17C9">
      <w:pPr>
        <w:rPr>
          <w:rFonts w:ascii="Times New Roman" w:hAnsi="Times New Roman" w:cs="Times New Roman"/>
        </w:rPr>
      </w:pPr>
      <w:r w:rsidRPr="00C00A62">
        <w:rPr>
          <w:rFonts w:ascii="Times New Roman" w:hAnsi="Times New Roman" w:cs="Times New Roman"/>
        </w:rPr>
        <w:t>Quantified benefit</w:t>
      </w:r>
      <w:commentRangeStart w:id="3"/>
      <w:r w:rsidRPr="00C00A62">
        <w:rPr>
          <w:rFonts w:ascii="Times New Roman" w:hAnsi="Times New Roman" w:cs="Times New Roman"/>
        </w:rPr>
        <w:t xml:space="preserve">: </w:t>
      </w:r>
      <w:r w:rsidR="00B1189E">
        <w:rPr>
          <w:rFonts w:ascii="Times New Roman" w:hAnsi="Times New Roman" w:cs="Times New Roman"/>
          <w:b/>
          <w:bCs/>
        </w:rPr>
        <w:t>2,400-4,500</w:t>
      </w:r>
      <w:commentRangeEnd w:id="3"/>
      <w:r w:rsidR="008554AA">
        <w:rPr>
          <w:rStyle w:val="CommentReference"/>
        </w:rPr>
        <w:commentReference w:id="3"/>
      </w:r>
    </w:p>
    <w:p w14:paraId="12E700D0" w14:textId="58496493" w:rsidR="00ED17C9" w:rsidRPr="00C00A62" w:rsidRDefault="00ED17C9" w:rsidP="00ED17C9">
      <w:pPr>
        <w:rPr>
          <w:rFonts w:ascii="Times New Roman" w:hAnsi="Times New Roman" w:cs="Times New Roman"/>
        </w:rPr>
      </w:pPr>
      <w:r w:rsidRPr="00C00A62">
        <w:rPr>
          <w:rFonts w:ascii="Times New Roman" w:hAnsi="Times New Roman" w:cs="Times New Roman"/>
        </w:rPr>
        <w:t xml:space="preserve">Units: </w:t>
      </w:r>
      <w:r w:rsidR="00323BA9">
        <w:rPr>
          <w:rFonts w:ascii="Times New Roman" w:hAnsi="Times New Roman" w:cs="Times New Roman"/>
        </w:rPr>
        <w:t>acre-feet</w:t>
      </w:r>
      <w:r w:rsidRPr="00C00A62">
        <w:rPr>
          <w:rFonts w:ascii="Times New Roman" w:hAnsi="Times New Roman" w:cs="Times New Roman"/>
        </w:rPr>
        <w:tab/>
      </w:r>
      <w:r w:rsidRPr="00C00A62">
        <w:rPr>
          <w:rFonts w:ascii="Times New Roman" w:hAnsi="Times New Roman" w:cs="Times New Roman"/>
        </w:rPr>
        <w:tab/>
      </w:r>
      <w:r w:rsidRPr="00C00A62">
        <w:rPr>
          <w:rFonts w:ascii="Times New Roman" w:hAnsi="Times New Roman" w:cs="Times New Roman"/>
        </w:rPr>
        <w:tab/>
      </w:r>
      <w:r w:rsidR="00D023D3" w:rsidRPr="00C00A62">
        <w:rPr>
          <w:rFonts w:ascii="Times New Roman" w:hAnsi="Times New Roman" w:cs="Times New Roman"/>
        </w:rPr>
        <w:tab/>
      </w:r>
      <w:r w:rsidRPr="00C00A62">
        <w:rPr>
          <w:rFonts w:ascii="Times New Roman" w:hAnsi="Times New Roman" w:cs="Times New Roman"/>
        </w:rPr>
        <w:t xml:space="preserve">If other please enter: </w:t>
      </w:r>
    </w:p>
    <w:p w14:paraId="70084496" w14:textId="390D079D" w:rsidR="00ED17C9" w:rsidRDefault="00ED17C9" w:rsidP="00ED17C9">
      <w:pPr>
        <w:rPr>
          <w:rFonts w:ascii="Times New Roman" w:hAnsi="Times New Roman" w:cs="Times New Roman"/>
        </w:rPr>
      </w:pPr>
      <w:r w:rsidRPr="00C00A62">
        <w:rPr>
          <w:rFonts w:ascii="Times New Roman" w:hAnsi="Times New Roman" w:cs="Times New Roman"/>
        </w:rPr>
        <w:t xml:space="preserve">Benefit Type: </w:t>
      </w:r>
      <w:r w:rsidRPr="00C00A62">
        <w:rPr>
          <w:rFonts w:ascii="Times New Roman" w:hAnsi="Times New Roman" w:cs="Times New Roman"/>
        </w:rPr>
        <w:tab/>
      </w:r>
      <w:r w:rsidR="00821CD0">
        <w:rPr>
          <w:rFonts w:ascii="Times New Roman" w:hAnsi="Times New Roman" w:cs="Times New Roman"/>
        </w:rPr>
        <w:t>groundwater recharge</w:t>
      </w:r>
      <w:r w:rsidR="004D4EE9">
        <w:rPr>
          <w:rFonts w:ascii="Times New Roman" w:hAnsi="Times New Roman" w:cs="Times New Roman"/>
          <w:b/>
          <w:bCs/>
        </w:rPr>
        <w:tab/>
      </w:r>
      <w:r w:rsidRPr="00C00A62">
        <w:rPr>
          <w:rFonts w:ascii="Times New Roman" w:hAnsi="Times New Roman" w:cs="Times New Roman"/>
        </w:rPr>
        <w:tab/>
        <w:t xml:space="preserve">If other please enter: </w:t>
      </w:r>
    </w:p>
    <w:p w14:paraId="43E9E355" w14:textId="7EC310C9" w:rsidR="009877B9" w:rsidRDefault="009877B9" w:rsidP="00ED17C9">
      <w:pPr>
        <w:rPr>
          <w:rFonts w:ascii="Times New Roman" w:hAnsi="Times New Roman" w:cs="Times New Roman"/>
        </w:rPr>
      </w:pPr>
    </w:p>
    <w:p w14:paraId="25F81E93" w14:textId="00DF68F7" w:rsidR="003C5934" w:rsidRPr="00334BDE" w:rsidRDefault="009877B9" w:rsidP="00334BDE">
      <w:pPr>
        <w:rPr>
          <w:rFonts w:ascii="Times New Roman" w:hAnsi="Times New Roman" w:cs="Times New Roman"/>
          <w:b/>
          <w:bCs/>
        </w:rPr>
      </w:pPr>
      <w:r>
        <w:rPr>
          <w:rFonts w:ascii="Times New Roman" w:hAnsi="Times New Roman" w:cs="Times New Roman"/>
          <w:b/>
          <w:bCs/>
        </w:rPr>
        <w:t xml:space="preserve">The primary benefit of the project is an </w:t>
      </w:r>
      <w:r w:rsidR="00207B99">
        <w:rPr>
          <w:rFonts w:ascii="Times New Roman" w:hAnsi="Times New Roman" w:cs="Times New Roman"/>
          <w:b/>
          <w:bCs/>
        </w:rPr>
        <w:t xml:space="preserve">increase in groundwater recharge. </w:t>
      </w:r>
      <w:r w:rsidR="00684193">
        <w:rPr>
          <w:rFonts w:ascii="Times New Roman" w:hAnsi="Times New Roman" w:cs="Times New Roman"/>
          <w:b/>
          <w:bCs/>
        </w:rPr>
        <w:t xml:space="preserve">This estimate is based on 500 to 600 acres </w:t>
      </w:r>
      <w:r w:rsidR="00020D72">
        <w:rPr>
          <w:rFonts w:ascii="Times New Roman" w:hAnsi="Times New Roman" w:cs="Times New Roman"/>
          <w:b/>
          <w:bCs/>
        </w:rPr>
        <w:t xml:space="preserve">of land used for groundwater recharge. </w:t>
      </w:r>
      <w:r w:rsidR="006E1D3C">
        <w:rPr>
          <w:rFonts w:ascii="Times New Roman" w:hAnsi="Times New Roman" w:cs="Times New Roman"/>
          <w:b/>
          <w:bCs/>
        </w:rPr>
        <w:t xml:space="preserve">This benefit is primarily constrained by water availability. </w:t>
      </w:r>
      <w:r w:rsidR="006C0CEE">
        <w:rPr>
          <w:rFonts w:ascii="Times New Roman" w:hAnsi="Times New Roman" w:cs="Times New Roman"/>
          <w:b/>
          <w:bCs/>
        </w:rPr>
        <w:t xml:space="preserve">The U.S. Forest Service (USFS) has a right to 426 </w:t>
      </w:r>
      <w:proofErr w:type="spellStart"/>
      <w:r w:rsidR="006C0CEE">
        <w:rPr>
          <w:rFonts w:ascii="Times New Roman" w:hAnsi="Times New Roman" w:cs="Times New Roman"/>
          <w:b/>
          <w:bCs/>
        </w:rPr>
        <w:t>cfs</w:t>
      </w:r>
      <w:proofErr w:type="spellEnd"/>
      <w:r w:rsidR="006C0CEE">
        <w:rPr>
          <w:rFonts w:ascii="Times New Roman" w:hAnsi="Times New Roman" w:cs="Times New Roman"/>
          <w:b/>
          <w:bCs/>
        </w:rPr>
        <w:t xml:space="preserve"> </w:t>
      </w:r>
      <w:r w:rsidR="001F07C0">
        <w:rPr>
          <w:rFonts w:ascii="Times New Roman" w:hAnsi="Times New Roman" w:cs="Times New Roman"/>
          <w:b/>
          <w:bCs/>
        </w:rPr>
        <w:t xml:space="preserve">as daily mean flow or calculated </w:t>
      </w:r>
      <w:r w:rsidR="00C54408">
        <w:rPr>
          <w:rFonts w:ascii="Times New Roman" w:hAnsi="Times New Roman" w:cs="Times New Roman"/>
          <w:b/>
          <w:bCs/>
        </w:rPr>
        <w:t>average</w:t>
      </w:r>
      <w:r w:rsidR="001F07C0">
        <w:rPr>
          <w:rFonts w:ascii="Times New Roman" w:hAnsi="Times New Roman" w:cs="Times New Roman"/>
          <w:b/>
          <w:bCs/>
        </w:rPr>
        <w:t xml:space="preserve"> during the pre</w:t>
      </w:r>
      <w:r w:rsidR="00C54408">
        <w:rPr>
          <w:rFonts w:ascii="Times New Roman" w:hAnsi="Times New Roman" w:cs="Times New Roman"/>
          <w:b/>
          <w:bCs/>
        </w:rPr>
        <w:t>c</w:t>
      </w:r>
      <w:r w:rsidR="001F07C0">
        <w:rPr>
          <w:rFonts w:ascii="Times New Roman" w:hAnsi="Times New Roman" w:cs="Times New Roman"/>
          <w:b/>
          <w:bCs/>
        </w:rPr>
        <w:t>eding 10 days from January through March as measured at the Fort Jones Gauge</w:t>
      </w:r>
      <w:r w:rsidR="00853DF7">
        <w:rPr>
          <w:rFonts w:ascii="Times New Roman" w:hAnsi="Times New Roman" w:cs="Times New Roman"/>
          <w:b/>
          <w:bCs/>
        </w:rPr>
        <w:t xml:space="preserve">. </w:t>
      </w:r>
      <w:r w:rsidR="00080EA8">
        <w:rPr>
          <w:rFonts w:ascii="Times New Roman" w:hAnsi="Times New Roman" w:cs="Times New Roman"/>
          <w:b/>
          <w:bCs/>
        </w:rPr>
        <w:t xml:space="preserve">Achieving sufficient flow </w:t>
      </w:r>
      <w:r w:rsidR="008C09A1">
        <w:rPr>
          <w:rFonts w:ascii="Times New Roman" w:hAnsi="Times New Roman" w:cs="Times New Roman"/>
          <w:b/>
          <w:bCs/>
        </w:rPr>
        <w:t xml:space="preserve">to meet this water right and </w:t>
      </w:r>
      <w:r w:rsidR="00F25B1B">
        <w:rPr>
          <w:rFonts w:ascii="Times New Roman" w:hAnsi="Times New Roman" w:cs="Times New Roman"/>
          <w:b/>
          <w:bCs/>
        </w:rPr>
        <w:t xml:space="preserve">be able </w:t>
      </w:r>
      <w:r w:rsidR="008C09A1">
        <w:rPr>
          <w:rFonts w:ascii="Times New Roman" w:hAnsi="Times New Roman" w:cs="Times New Roman"/>
          <w:b/>
          <w:bCs/>
        </w:rPr>
        <w:t xml:space="preserve">divert for groundwater recharge is </w:t>
      </w:r>
      <w:r w:rsidR="000D1292">
        <w:rPr>
          <w:rFonts w:ascii="Times New Roman" w:hAnsi="Times New Roman" w:cs="Times New Roman"/>
          <w:b/>
          <w:bCs/>
        </w:rPr>
        <w:t xml:space="preserve"> a limiting factor for</w:t>
      </w:r>
      <w:r w:rsidR="0020236E">
        <w:rPr>
          <w:rFonts w:ascii="Times New Roman" w:hAnsi="Times New Roman" w:cs="Times New Roman"/>
          <w:b/>
          <w:bCs/>
        </w:rPr>
        <w:t xml:space="preserve"> groundwater recharge </w:t>
      </w:r>
      <w:r w:rsidR="00E7167B">
        <w:rPr>
          <w:rFonts w:ascii="Times New Roman" w:hAnsi="Times New Roman" w:cs="Times New Roman"/>
          <w:b/>
          <w:bCs/>
        </w:rPr>
        <w:t>benefit</w:t>
      </w:r>
      <w:r w:rsidR="008C09A1">
        <w:rPr>
          <w:rFonts w:ascii="Times New Roman" w:hAnsi="Times New Roman" w:cs="Times New Roman"/>
          <w:b/>
          <w:bCs/>
        </w:rPr>
        <w:t>.</w:t>
      </w:r>
      <w:r w:rsidR="008516CD">
        <w:rPr>
          <w:rFonts w:ascii="Times New Roman" w:hAnsi="Times New Roman" w:cs="Times New Roman"/>
          <w:b/>
          <w:bCs/>
        </w:rPr>
        <w:t xml:space="preserve"> </w:t>
      </w:r>
      <w:r w:rsidR="008C09A1">
        <w:rPr>
          <w:rFonts w:ascii="Times New Roman" w:hAnsi="Times New Roman" w:cs="Times New Roman"/>
          <w:b/>
          <w:bCs/>
        </w:rPr>
        <w:t xml:space="preserve"> </w:t>
      </w:r>
      <w:r w:rsidR="00576962">
        <w:rPr>
          <w:rFonts w:ascii="Times New Roman" w:hAnsi="Times New Roman" w:cs="Times New Roman"/>
          <w:b/>
          <w:bCs/>
        </w:rPr>
        <w:t xml:space="preserve"> </w:t>
      </w:r>
    </w:p>
    <w:p w14:paraId="0730E9E8" w14:textId="2149520A" w:rsidR="00ED17C9" w:rsidRPr="00261EC2" w:rsidRDefault="00ED17C9" w:rsidP="00ED17C9">
      <w:pPr>
        <w:pStyle w:val="ListParagraph"/>
        <w:rPr>
          <w:rFonts w:ascii="Times New Roman" w:hAnsi="Times New Roman" w:cs="Times New Roman"/>
          <w:b/>
          <w:bCs/>
        </w:rPr>
      </w:pPr>
    </w:p>
    <w:p w14:paraId="59C1FF65" w14:textId="7A8A2BAA" w:rsidR="00261EC2" w:rsidRPr="00ED17C9" w:rsidRDefault="00261EC2" w:rsidP="007C7329">
      <w:pPr>
        <w:pStyle w:val="ListParagraph"/>
        <w:numPr>
          <w:ilvl w:val="0"/>
          <w:numId w:val="3"/>
        </w:numPr>
        <w:rPr>
          <w:rFonts w:ascii="Times New Roman" w:hAnsi="Times New Roman" w:cs="Times New Roman"/>
          <w:b/>
          <w:bCs/>
        </w:rPr>
      </w:pPr>
      <w:r>
        <w:rPr>
          <w:rFonts w:ascii="Times New Roman" w:hAnsi="Times New Roman" w:cs="Times New Roman"/>
        </w:rPr>
        <w:t xml:space="preserve">Describe the Secondary Benefit of the Project </w:t>
      </w:r>
    </w:p>
    <w:p w14:paraId="7AFAAB82" w14:textId="5A8ED613" w:rsidR="00ED17C9" w:rsidRDefault="00ED17C9" w:rsidP="00ED17C9">
      <w:pPr>
        <w:pStyle w:val="ListParagraph"/>
        <w:rPr>
          <w:rFonts w:ascii="Times New Roman" w:hAnsi="Times New Roman" w:cs="Times New Roman"/>
          <w:b/>
          <w:bCs/>
        </w:rPr>
      </w:pPr>
    </w:p>
    <w:p w14:paraId="00668CEB" w14:textId="70B7ED1F" w:rsidR="00C00A62" w:rsidRPr="00C00A62" w:rsidRDefault="00C00A62" w:rsidP="00C00A62">
      <w:pPr>
        <w:rPr>
          <w:rFonts w:ascii="Times New Roman" w:hAnsi="Times New Roman" w:cs="Times New Roman"/>
        </w:rPr>
      </w:pPr>
      <w:r w:rsidRPr="00C00A62">
        <w:rPr>
          <w:rFonts w:ascii="Times New Roman" w:hAnsi="Times New Roman" w:cs="Times New Roman"/>
        </w:rPr>
        <w:t xml:space="preserve">Quantified benefit: </w:t>
      </w:r>
      <w:r w:rsidR="00CD5C16">
        <w:rPr>
          <w:rFonts w:ascii="Times New Roman" w:hAnsi="Times New Roman" w:cs="Times New Roman"/>
          <w:b/>
          <w:bCs/>
        </w:rPr>
        <w:t>25</w:t>
      </w:r>
      <w:r w:rsidR="00F818FA">
        <w:rPr>
          <w:rFonts w:ascii="Times New Roman" w:hAnsi="Times New Roman" w:cs="Times New Roman"/>
          <w:b/>
          <w:bCs/>
        </w:rPr>
        <w:t xml:space="preserve"> mi</w:t>
      </w:r>
      <w:r w:rsidR="009C4CA2">
        <w:rPr>
          <w:rFonts w:ascii="Times New Roman" w:hAnsi="Times New Roman" w:cs="Times New Roman"/>
          <w:b/>
          <w:bCs/>
        </w:rPr>
        <w:t xml:space="preserve">les </w:t>
      </w:r>
    </w:p>
    <w:p w14:paraId="7938C558" w14:textId="0F106433" w:rsidR="00C00A62" w:rsidRPr="00C00A62" w:rsidRDefault="00C00A62" w:rsidP="00C00A62">
      <w:pPr>
        <w:rPr>
          <w:rFonts w:ascii="Times New Roman" w:hAnsi="Times New Roman" w:cs="Times New Roman"/>
        </w:rPr>
      </w:pPr>
      <w:r w:rsidRPr="00C00A62">
        <w:rPr>
          <w:rFonts w:ascii="Times New Roman" w:hAnsi="Times New Roman" w:cs="Times New Roman"/>
        </w:rPr>
        <w:t xml:space="preserve">Units: </w:t>
      </w:r>
      <w:r w:rsidRPr="00C00A62">
        <w:rPr>
          <w:rFonts w:ascii="Times New Roman" w:hAnsi="Times New Roman" w:cs="Times New Roman"/>
        </w:rPr>
        <w:tab/>
      </w:r>
      <w:r w:rsidR="00827117">
        <w:rPr>
          <w:rFonts w:ascii="Times New Roman" w:hAnsi="Times New Roman" w:cs="Times New Roman"/>
        </w:rPr>
        <w:t>miles</w:t>
      </w:r>
      <w:r w:rsidRPr="00C00A62">
        <w:rPr>
          <w:rFonts w:ascii="Times New Roman" w:hAnsi="Times New Roman" w:cs="Times New Roman"/>
        </w:rPr>
        <w:tab/>
      </w:r>
      <w:r w:rsidRPr="00C00A62">
        <w:rPr>
          <w:rFonts w:ascii="Times New Roman" w:hAnsi="Times New Roman" w:cs="Times New Roman"/>
        </w:rPr>
        <w:tab/>
      </w:r>
      <w:r w:rsidRPr="00C00A62">
        <w:rPr>
          <w:rFonts w:ascii="Times New Roman" w:hAnsi="Times New Roman" w:cs="Times New Roman"/>
        </w:rPr>
        <w:tab/>
      </w:r>
      <w:r w:rsidRPr="00C00A62">
        <w:rPr>
          <w:rFonts w:ascii="Times New Roman" w:hAnsi="Times New Roman" w:cs="Times New Roman"/>
        </w:rPr>
        <w:tab/>
      </w:r>
      <w:r w:rsidRPr="00C00A62">
        <w:rPr>
          <w:rFonts w:ascii="Times New Roman" w:hAnsi="Times New Roman" w:cs="Times New Roman"/>
        </w:rPr>
        <w:tab/>
        <w:t xml:space="preserve">If other please enter: </w:t>
      </w:r>
    </w:p>
    <w:p w14:paraId="11F7C718" w14:textId="2F83068D" w:rsidR="00C00A62" w:rsidRPr="00C00A62" w:rsidRDefault="00C00A62" w:rsidP="00C00A62">
      <w:pPr>
        <w:rPr>
          <w:rFonts w:ascii="Times New Roman" w:hAnsi="Times New Roman" w:cs="Times New Roman"/>
        </w:rPr>
      </w:pPr>
      <w:r w:rsidRPr="00C00A62">
        <w:rPr>
          <w:rFonts w:ascii="Times New Roman" w:hAnsi="Times New Roman" w:cs="Times New Roman"/>
        </w:rPr>
        <w:t xml:space="preserve">Benefit Type: </w:t>
      </w:r>
      <w:r w:rsidRPr="00C00A62">
        <w:rPr>
          <w:rFonts w:ascii="Times New Roman" w:hAnsi="Times New Roman" w:cs="Times New Roman"/>
        </w:rPr>
        <w:tab/>
      </w:r>
      <w:r w:rsidR="00FE00A7">
        <w:rPr>
          <w:rFonts w:ascii="Times New Roman" w:hAnsi="Times New Roman" w:cs="Times New Roman"/>
        </w:rPr>
        <w:t>improved instream flow</w:t>
      </w:r>
      <w:r w:rsidRPr="00C00A62">
        <w:rPr>
          <w:rFonts w:ascii="Times New Roman" w:hAnsi="Times New Roman" w:cs="Times New Roman"/>
        </w:rPr>
        <w:tab/>
        <w:t xml:space="preserve">If other please enter: </w:t>
      </w:r>
    </w:p>
    <w:p w14:paraId="34B78B44" w14:textId="114C2746" w:rsidR="00C00A62" w:rsidRDefault="00C00A62" w:rsidP="00CF3117">
      <w:pPr>
        <w:rPr>
          <w:rFonts w:ascii="Times New Roman" w:hAnsi="Times New Roman" w:cs="Times New Roman"/>
          <w:b/>
          <w:bCs/>
        </w:rPr>
      </w:pPr>
    </w:p>
    <w:p w14:paraId="318B70BD" w14:textId="7DD116F7" w:rsidR="00CF3117" w:rsidRPr="00CF3117" w:rsidRDefault="00152871" w:rsidP="00CF3117">
      <w:pPr>
        <w:rPr>
          <w:rFonts w:ascii="Times New Roman" w:hAnsi="Times New Roman" w:cs="Times New Roman"/>
          <w:b/>
          <w:bCs/>
        </w:rPr>
      </w:pPr>
      <w:r>
        <w:rPr>
          <w:rFonts w:ascii="Times New Roman" w:hAnsi="Times New Roman" w:cs="Times New Roman"/>
          <w:b/>
          <w:bCs/>
        </w:rPr>
        <w:t xml:space="preserve">The secondary benefit of the project is </w:t>
      </w:r>
      <w:r w:rsidR="009E125E">
        <w:rPr>
          <w:rFonts w:ascii="Times New Roman" w:hAnsi="Times New Roman" w:cs="Times New Roman"/>
          <w:b/>
          <w:bCs/>
        </w:rPr>
        <w:t xml:space="preserve">increased instream flows </w:t>
      </w:r>
      <w:r w:rsidR="008907E7">
        <w:rPr>
          <w:rFonts w:ascii="Times New Roman" w:hAnsi="Times New Roman" w:cs="Times New Roman"/>
          <w:b/>
          <w:bCs/>
        </w:rPr>
        <w:t xml:space="preserve">during </w:t>
      </w:r>
      <w:r w:rsidR="00847BAE">
        <w:rPr>
          <w:rFonts w:ascii="Times New Roman" w:hAnsi="Times New Roman" w:cs="Times New Roman"/>
          <w:b/>
          <w:bCs/>
        </w:rPr>
        <w:t>summer and fall dry periods</w:t>
      </w:r>
      <w:r w:rsidR="00EF0DC7">
        <w:rPr>
          <w:rFonts w:ascii="Times New Roman" w:hAnsi="Times New Roman" w:cs="Times New Roman"/>
          <w:b/>
          <w:bCs/>
        </w:rPr>
        <w:t xml:space="preserve"> due to increased recharge in the winter months.</w:t>
      </w:r>
      <w:r w:rsidR="007102FB">
        <w:rPr>
          <w:rFonts w:ascii="Times New Roman" w:hAnsi="Times New Roman" w:cs="Times New Roman"/>
          <w:b/>
          <w:bCs/>
        </w:rPr>
        <w:t xml:space="preserve"> This </w:t>
      </w:r>
      <w:r w:rsidR="00924887">
        <w:rPr>
          <w:rFonts w:ascii="Times New Roman" w:hAnsi="Times New Roman" w:cs="Times New Roman"/>
          <w:b/>
          <w:bCs/>
        </w:rPr>
        <w:t>improves</w:t>
      </w:r>
      <w:r w:rsidR="00646209">
        <w:rPr>
          <w:rFonts w:ascii="Times New Roman" w:hAnsi="Times New Roman" w:cs="Times New Roman"/>
          <w:b/>
          <w:bCs/>
        </w:rPr>
        <w:t xml:space="preserve"> conditions for</w:t>
      </w:r>
      <w:r w:rsidR="007102FB">
        <w:rPr>
          <w:rFonts w:ascii="Times New Roman" w:hAnsi="Times New Roman" w:cs="Times New Roman"/>
          <w:b/>
          <w:bCs/>
        </w:rPr>
        <w:t xml:space="preserve"> fish passage, accessibility</w:t>
      </w:r>
      <w:r w:rsidR="002F17FE">
        <w:rPr>
          <w:rFonts w:ascii="Times New Roman" w:hAnsi="Times New Roman" w:cs="Times New Roman"/>
          <w:b/>
          <w:bCs/>
        </w:rPr>
        <w:t>,</w:t>
      </w:r>
      <w:r w:rsidR="007102FB">
        <w:rPr>
          <w:rFonts w:ascii="Times New Roman" w:hAnsi="Times New Roman" w:cs="Times New Roman"/>
          <w:b/>
          <w:bCs/>
        </w:rPr>
        <w:t xml:space="preserve"> and habitat. </w:t>
      </w:r>
      <w:r w:rsidR="00EF0DC7">
        <w:rPr>
          <w:rFonts w:ascii="Times New Roman" w:hAnsi="Times New Roman" w:cs="Times New Roman"/>
          <w:b/>
          <w:bCs/>
        </w:rPr>
        <w:t xml:space="preserve"> </w:t>
      </w:r>
      <w:r w:rsidR="009B78D1">
        <w:rPr>
          <w:rFonts w:ascii="Times New Roman" w:hAnsi="Times New Roman" w:cs="Times New Roman"/>
          <w:b/>
          <w:bCs/>
        </w:rPr>
        <w:t xml:space="preserve">The length of Scott River that is expected to benefit from this increased instream flow </w:t>
      </w:r>
      <w:r w:rsidR="004713AA">
        <w:rPr>
          <w:rFonts w:ascii="Times New Roman" w:hAnsi="Times New Roman" w:cs="Times New Roman"/>
          <w:b/>
          <w:bCs/>
        </w:rPr>
        <w:t xml:space="preserve">is the stretch of river between Young’s Dam (river mile 46) to the USGS </w:t>
      </w:r>
      <w:r w:rsidR="00B439F5">
        <w:rPr>
          <w:rFonts w:ascii="Times New Roman" w:hAnsi="Times New Roman" w:cs="Times New Roman"/>
          <w:b/>
          <w:bCs/>
        </w:rPr>
        <w:t>gauging</w:t>
      </w:r>
      <w:r w:rsidR="004713AA">
        <w:rPr>
          <w:rFonts w:ascii="Times New Roman" w:hAnsi="Times New Roman" w:cs="Times New Roman"/>
          <w:b/>
          <w:bCs/>
        </w:rPr>
        <w:t xml:space="preserve"> station at Fort Jones (</w:t>
      </w:r>
      <w:r w:rsidR="009D0067">
        <w:rPr>
          <w:rFonts w:ascii="Times New Roman" w:hAnsi="Times New Roman" w:cs="Times New Roman"/>
          <w:b/>
          <w:bCs/>
        </w:rPr>
        <w:t>river</w:t>
      </w:r>
      <w:r w:rsidR="004713AA">
        <w:rPr>
          <w:rFonts w:ascii="Times New Roman" w:hAnsi="Times New Roman" w:cs="Times New Roman"/>
          <w:b/>
          <w:bCs/>
        </w:rPr>
        <w:t xml:space="preserve"> mile 21)</w:t>
      </w:r>
      <w:r w:rsidR="00B439F5">
        <w:rPr>
          <w:rFonts w:ascii="Times New Roman" w:hAnsi="Times New Roman" w:cs="Times New Roman"/>
          <w:b/>
          <w:bCs/>
        </w:rPr>
        <w:t xml:space="preserve">, or around </w:t>
      </w:r>
      <w:r w:rsidR="009B78D1">
        <w:rPr>
          <w:rFonts w:ascii="Times New Roman" w:hAnsi="Times New Roman" w:cs="Times New Roman"/>
          <w:b/>
          <w:bCs/>
        </w:rPr>
        <w:t>is</w:t>
      </w:r>
      <w:r w:rsidR="00C014DC">
        <w:rPr>
          <w:rFonts w:ascii="Times New Roman" w:hAnsi="Times New Roman" w:cs="Times New Roman"/>
          <w:b/>
          <w:bCs/>
        </w:rPr>
        <w:t xml:space="preserve"> </w:t>
      </w:r>
      <w:r w:rsidR="00CD5C16">
        <w:rPr>
          <w:rFonts w:ascii="Times New Roman" w:hAnsi="Times New Roman" w:cs="Times New Roman"/>
          <w:b/>
          <w:bCs/>
        </w:rPr>
        <w:t>25</w:t>
      </w:r>
      <w:r w:rsidR="005506A7">
        <w:rPr>
          <w:rFonts w:ascii="Times New Roman" w:hAnsi="Times New Roman" w:cs="Times New Roman"/>
          <w:b/>
          <w:bCs/>
        </w:rPr>
        <w:t xml:space="preserve"> </w:t>
      </w:r>
      <w:r w:rsidR="00810122">
        <w:rPr>
          <w:rFonts w:ascii="Times New Roman" w:hAnsi="Times New Roman" w:cs="Times New Roman"/>
          <w:b/>
          <w:bCs/>
        </w:rPr>
        <w:t>miles.</w:t>
      </w:r>
      <w:r w:rsidR="0016014C">
        <w:rPr>
          <w:rFonts w:ascii="Times New Roman" w:hAnsi="Times New Roman" w:cs="Times New Roman"/>
          <w:b/>
          <w:bCs/>
        </w:rPr>
        <w:t xml:space="preserve"> </w:t>
      </w:r>
    </w:p>
    <w:p w14:paraId="21BA166A" w14:textId="77777777" w:rsidR="00ED17C9" w:rsidRPr="00261EC2" w:rsidRDefault="00ED17C9" w:rsidP="00ED17C9">
      <w:pPr>
        <w:pStyle w:val="ListParagraph"/>
        <w:rPr>
          <w:rFonts w:ascii="Times New Roman" w:hAnsi="Times New Roman" w:cs="Times New Roman"/>
          <w:b/>
          <w:bCs/>
        </w:rPr>
      </w:pPr>
    </w:p>
    <w:p w14:paraId="5C196407" w14:textId="195A7049" w:rsidR="00B12D80" w:rsidRPr="005F0616" w:rsidRDefault="00261EC2" w:rsidP="003F3092">
      <w:pPr>
        <w:pStyle w:val="ListParagraph"/>
        <w:numPr>
          <w:ilvl w:val="0"/>
          <w:numId w:val="3"/>
        </w:numPr>
        <w:rPr>
          <w:rFonts w:ascii="Times New Roman" w:hAnsi="Times New Roman" w:cs="Times New Roman"/>
          <w:b/>
          <w:bCs/>
        </w:rPr>
      </w:pPr>
      <w:r>
        <w:rPr>
          <w:rFonts w:ascii="Times New Roman" w:hAnsi="Times New Roman" w:cs="Times New Roman"/>
        </w:rPr>
        <w:t xml:space="preserve">Please briefly describe how the project will achieve the claimed benefits. </w:t>
      </w:r>
    </w:p>
    <w:p w14:paraId="5B57AD14" w14:textId="4D97B819" w:rsidR="00221154" w:rsidRDefault="00221154" w:rsidP="008C491A">
      <w:pPr>
        <w:pStyle w:val="ListParagraph"/>
        <w:rPr>
          <w:rFonts w:ascii="Times New Roman" w:hAnsi="Times New Roman" w:cs="Times New Roman"/>
          <w:b/>
          <w:bCs/>
        </w:rPr>
      </w:pPr>
    </w:p>
    <w:p w14:paraId="507E7D22" w14:textId="35B10A45" w:rsidR="00221154" w:rsidRDefault="00E12B86" w:rsidP="008C491A">
      <w:pPr>
        <w:pStyle w:val="ListParagraph"/>
        <w:rPr>
          <w:rFonts w:ascii="Times New Roman" w:hAnsi="Times New Roman" w:cs="Times New Roman"/>
          <w:b/>
          <w:bCs/>
        </w:rPr>
      </w:pPr>
      <w:r>
        <w:rPr>
          <w:rFonts w:ascii="Times New Roman" w:hAnsi="Times New Roman" w:cs="Times New Roman"/>
          <w:b/>
          <w:bCs/>
        </w:rPr>
        <w:t>Increased groundwater recharge was quantified assuming a total of four recharge projects</w:t>
      </w:r>
      <w:r w:rsidR="0001716D">
        <w:rPr>
          <w:rFonts w:ascii="Times New Roman" w:hAnsi="Times New Roman" w:cs="Times New Roman"/>
          <w:b/>
          <w:bCs/>
        </w:rPr>
        <w:t>, using an infiltration rate from a previous study in Scott Valley</w:t>
      </w:r>
      <w:r w:rsidR="0038083C" w:rsidRPr="0038083C">
        <w:rPr>
          <w:rFonts w:ascii="Times New Roman" w:hAnsi="Times New Roman" w:cs="Times New Roman"/>
          <w:b/>
          <w:bCs/>
          <w:vertAlign w:val="superscript"/>
        </w:rPr>
        <w:t>1</w:t>
      </w:r>
      <w:r w:rsidR="00C6454F">
        <w:rPr>
          <w:rFonts w:ascii="Times New Roman" w:hAnsi="Times New Roman" w:cs="Times New Roman"/>
          <w:b/>
          <w:bCs/>
        </w:rPr>
        <w:t xml:space="preserve">. </w:t>
      </w:r>
      <w:r w:rsidR="00296E5A">
        <w:rPr>
          <w:rFonts w:ascii="Times New Roman" w:hAnsi="Times New Roman" w:cs="Times New Roman"/>
          <w:b/>
          <w:bCs/>
        </w:rPr>
        <w:t xml:space="preserve">Since water availability is likely to be the limiting factor, it was assumed excess winter surface water runoff </w:t>
      </w:r>
      <w:r w:rsidR="00F46E69">
        <w:rPr>
          <w:rFonts w:ascii="Times New Roman" w:hAnsi="Times New Roman" w:cs="Times New Roman"/>
          <w:b/>
          <w:bCs/>
        </w:rPr>
        <w:t>would</w:t>
      </w:r>
      <w:r w:rsidR="00296E5A">
        <w:rPr>
          <w:rFonts w:ascii="Times New Roman" w:hAnsi="Times New Roman" w:cs="Times New Roman"/>
          <w:b/>
          <w:bCs/>
        </w:rPr>
        <w:t xml:space="preserve"> be </w:t>
      </w:r>
      <w:r w:rsidR="00F46E69">
        <w:rPr>
          <w:rFonts w:ascii="Times New Roman" w:hAnsi="Times New Roman" w:cs="Times New Roman"/>
          <w:b/>
          <w:bCs/>
        </w:rPr>
        <w:t>diverted</w:t>
      </w:r>
      <w:r w:rsidR="00296E5A">
        <w:rPr>
          <w:rFonts w:ascii="Times New Roman" w:hAnsi="Times New Roman" w:cs="Times New Roman"/>
          <w:b/>
          <w:bCs/>
        </w:rPr>
        <w:t xml:space="preserve"> for </w:t>
      </w:r>
      <w:r w:rsidR="00BF3B03">
        <w:rPr>
          <w:rFonts w:ascii="Times New Roman" w:hAnsi="Times New Roman" w:cs="Times New Roman"/>
          <w:b/>
          <w:bCs/>
        </w:rPr>
        <w:t>6</w:t>
      </w:r>
      <w:r w:rsidR="00296E5A">
        <w:rPr>
          <w:rFonts w:ascii="Times New Roman" w:hAnsi="Times New Roman" w:cs="Times New Roman"/>
          <w:b/>
          <w:bCs/>
        </w:rPr>
        <w:t>0 days</w:t>
      </w:r>
      <w:r w:rsidR="00877FF1">
        <w:rPr>
          <w:rFonts w:ascii="Times New Roman" w:hAnsi="Times New Roman" w:cs="Times New Roman"/>
          <w:b/>
          <w:bCs/>
        </w:rPr>
        <w:t xml:space="preserve">, instead of the full 90 days within </w:t>
      </w:r>
      <w:r w:rsidR="00877FF1">
        <w:rPr>
          <w:rFonts w:ascii="Times New Roman" w:hAnsi="Times New Roman" w:cs="Times New Roman"/>
          <w:b/>
          <w:bCs/>
        </w:rPr>
        <w:lastRenderedPageBreak/>
        <w:t xml:space="preserve">the January to March </w:t>
      </w:r>
      <w:r w:rsidR="007E638A">
        <w:rPr>
          <w:rFonts w:ascii="Times New Roman" w:hAnsi="Times New Roman" w:cs="Times New Roman"/>
          <w:b/>
          <w:bCs/>
        </w:rPr>
        <w:t>period</w:t>
      </w:r>
      <w:r w:rsidR="00877FF1">
        <w:rPr>
          <w:rFonts w:ascii="Times New Roman" w:hAnsi="Times New Roman" w:cs="Times New Roman"/>
          <w:b/>
          <w:bCs/>
        </w:rPr>
        <w:t xml:space="preserve">. </w:t>
      </w:r>
      <w:r w:rsidR="00760401">
        <w:rPr>
          <w:rFonts w:ascii="Times New Roman" w:hAnsi="Times New Roman" w:cs="Times New Roman"/>
          <w:b/>
          <w:bCs/>
        </w:rPr>
        <w:t>The recharg</w:t>
      </w:r>
      <w:r w:rsidR="00F12AC2">
        <w:rPr>
          <w:rFonts w:ascii="Times New Roman" w:hAnsi="Times New Roman" w:cs="Times New Roman"/>
          <w:b/>
          <w:bCs/>
        </w:rPr>
        <w:t xml:space="preserve">e benefit is a preliminary estimate and will change based on water availability, site characteristics </w:t>
      </w:r>
      <w:r w:rsidR="00FE0DEC">
        <w:rPr>
          <w:rFonts w:ascii="Times New Roman" w:hAnsi="Times New Roman" w:cs="Times New Roman"/>
          <w:b/>
          <w:bCs/>
        </w:rPr>
        <w:t>and</w:t>
      </w:r>
      <w:r w:rsidR="00160BA9">
        <w:rPr>
          <w:rFonts w:ascii="Times New Roman" w:hAnsi="Times New Roman" w:cs="Times New Roman"/>
          <w:b/>
          <w:bCs/>
        </w:rPr>
        <w:t xml:space="preserve"> detailed designs. </w:t>
      </w:r>
      <w:r w:rsidR="000D1BAB">
        <w:rPr>
          <w:rFonts w:ascii="Times New Roman" w:hAnsi="Times New Roman" w:cs="Times New Roman"/>
          <w:b/>
          <w:bCs/>
        </w:rPr>
        <w:t>The augment</w:t>
      </w:r>
      <w:r w:rsidR="00DE78AB">
        <w:rPr>
          <w:rFonts w:ascii="Times New Roman" w:hAnsi="Times New Roman" w:cs="Times New Roman"/>
          <w:b/>
          <w:bCs/>
        </w:rPr>
        <w:t>ation to groundwater storage will help increase water supply reliability</w:t>
      </w:r>
      <w:r w:rsidR="00F73001">
        <w:rPr>
          <w:rFonts w:ascii="Times New Roman" w:hAnsi="Times New Roman" w:cs="Times New Roman"/>
          <w:b/>
          <w:bCs/>
        </w:rPr>
        <w:t xml:space="preserve"> for Scott Valley residents</w:t>
      </w:r>
      <w:r w:rsidR="004C4C54">
        <w:rPr>
          <w:rFonts w:ascii="Times New Roman" w:hAnsi="Times New Roman" w:cs="Times New Roman"/>
          <w:b/>
          <w:bCs/>
        </w:rPr>
        <w:t xml:space="preserve">, both for consumption </w:t>
      </w:r>
      <w:r w:rsidR="003647D0">
        <w:rPr>
          <w:rFonts w:ascii="Times New Roman" w:hAnsi="Times New Roman" w:cs="Times New Roman"/>
          <w:b/>
          <w:bCs/>
        </w:rPr>
        <w:t>by residents</w:t>
      </w:r>
      <w:r w:rsidR="002852BE">
        <w:rPr>
          <w:rFonts w:ascii="Times New Roman" w:hAnsi="Times New Roman" w:cs="Times New Roman"/>
          <w:b/>
          <w:bCs/>
        </w:rPr>
        <w:t xml:space="preserve"> </w:t>
      </w:r>
      <w:r w:rsidR="004C4C54">
        <w:rPr>
          <w:rFonts w:ascii="Times New Roman" w:hAnsi="Times New Roman" w:cs="Times New Roman"/>
          <w:b/>
          <w:bCs/>
        </w:rPr>
        <w:t xml:space="preserve">and to support economic </w:t>
      </w:r>
      <w:r w:rsidR="00CA3E07">
        <w:rPr>
          <w:rFonts w:ascii="Times New Roman" w:hAnsi="Times New Roman" w:cs="Times New Roman"/>
          <w:b/>
          <w:bCs/>
        </w:rPr>
        <w:t>activity, primarily through supporting agricultural water consumption needs</w:t>
      </w:r>
      <w:r w:rsidR="00F73001">
        <w:rPr>
          <w:rFonts w:ascii="Times New Roman" w:hAnsi="Times New Roman" w:cs="Times New Roman"/>
          <w:b/>
          <w:bCs/>
        </w:rPr>
        <w:t xml:space="preserve">. </w:t>
      </w:r>
    </w:p>
    <w:p w14:paraId="1F401237" w14:textId="77777777" w:rsidR="00F46E69" w:rsidRDefault="00F46E69" w:rsidP="008C491A">
      <w:pPr>
        <w:pStyle w:val="ListParagraph"/>
        <w:rPr>
          <w:rFonts w:ascii="Times New Roman" w:hAnsi="Times New Roman" w:cs="Times New Roman"/>
          <w:b/>
          <w:bCs/>
        </w:rPr>
      </w:pPr>
    </w:p>
    <w:p w14:paraId="33075B21" w14:textId="1945CA5E" w:rsidR="00F73001" w:rsidRDefault="00E92A12" w:rsidP="008C491A">
      <w:pPr>
        <w:pStyle w:val="ListParagraph"/>
        <w:rPr>
          <w:rFonts w:ascii="Times New Roman" w:hAnsi="Times New Roman" w:cs="Times New Roman"/>
          <w:b/>
          <w:bCs/>
        </w:rPr>
      </w:pPr>
      <w:r>
        <w:rPr>
          <w:rFonts w:ascii="Times New Roman" w:hAnsi="Times New Roman" w:cs="Times New Roman"/>
          <w:b/>
          <w:bCs/>
        </w:rPr>
        <w:t xml:space="preserve">This project will also </w:t>
      </w:r>
      <w:r w:rsidR="00DD7F66">
        <w:rPr>
          <w:rFonts w:ascii="Times New Roman" w:hAnsi="Times New Roman" w:cs="Times New Roman"/>
          <w:b/>
          <w:bCs/>
        </w:rPr>
        <w:t>indirectly support instream flows through critical summer and fall periods</w:t>
      </w:r>
      <w:r w:rsidR="00614AF6">
        <w:rPr>
          <w:rFonts w:ascii="Times New Roman" w:hAnsi="Times New Roman" w:cs="Times New Roman"/>
          <w:b/>
          <w:bCs/>
        </w:rPr>
        <w:t>. This will be accomplished through increasing</w:t>
      </w:r>
      <w:r w:rsidR="005C6812">
        <w:rPr>
          <w:rFonts w:ascii="Times New Roman" w:hAnsi="Times New Roman" w:cs="Times New Roman"/>
          <w:b/>
          <w:bCs/>
        </w:rPr>
        <w:t xml:space="preserve"> groundwater </w:t>
      </w:r>
      <w:r w:rsidR="00614AF6">
        <w:rPr>
          <w:rFonts w:ascii="Times New Roman" w:hAnsi="Times New Roman" w:cs="Times New Roman"/>
          <w:b/>
          <w:bCs/>
        </w:rPr>
        <w:t>available</w:t>
      </w:r>
      <w:r w:rsidR="0064739A">
        <w:rPr>
          <w:rFonts w:ascii="Times New Roman" w:hAnsi="Times New Roman" w:cs="Times New Roman"/>
          <w:b/>
          <w:bCs/>
        </w:rPr>
        <w:t xml:space="preserve"> to </w:t>
      </w:r>
      <w:r w:rsidR="000E1F92">
        <w:rPr>
          <w:rFonts w:ascii="Times New Roman" w:hAnsi="Times New Roman" w:cs="Times New Roman"/>
          <w:b/>
          <w:bCs/>
        </w:rPr>
        <w:t>contribute to</w:t>
      </w:r>
      <w:r w:rsidR="005C6812">
        <w:rPr>
          <w:rFonts w:ascii="Times New Roman" w:hAnsi="Times New Roman" w:cs="Times New Roman"/>
          <w:b/>
          <w:bCs/>
        </w:rPr>
        <w:t xml:space="preserve"> baseflow</w:t>
      </w:r>
      <w:r w:rsidR="000E1F92">
        <w:rPr>
          <w:rFonts w:ascii="Times New Roman" w:hAnsi="Times New Roman" w:cs="Times New Roman"/>
          <w:b/>
          <w:bCs/>
        </w:rPr>
        <w:t xml:space="preserve"> in the river during these </w:t>
      </w:r>
      <w:r w:rsidR="002C0F55">
        <w:rPr>
          <w:rFonts w:ascii="Times New Roman" w:hAnsi="Times New Roman" w:cs="Times New Roman"/>
          <w:b/>
          <w:bCs/>
        </w:rPr>
        <w:t xml:space="preserve">critical periods. </w:t>
      </w:r>
      <w:r w:rsidR="003E7CDC">
        <w:rPr>
          <w:rFonts w:ascii="Times New Roman" w:hAnsi="Times New Roman" w:cs="Times New Roman"/>
          <w:b/>
          <w:bCs/>
        </w:rPr>
        <w:t xml:space="preserve">Supporting instream flows will improve habitat and accessibility for aquatic species, particularly for anadromous fish. </w:t>
      </w:r>
      <w:r w:rsidR="0064739A">
        <w:rPr>
          <w:rFonts w:ascii="Times New Roman" w:hAnsi="Times New Roman" w:cs="Times New Roman"/>
          <w:b/>
          <w:bCs/>
        </w:rPr>
        <w:t xml:space="preserve"> </w:t>
      </w:r>
    </w:p>
    <w:p w14:paraId="76C0DF72" w14:textId="0E84BE56" w:rsidR="00F73001" w:rsidRDefault="00F73001" w:rsidP="008C491A">
      <w:pPr>
        <w:pStyle w:val="ListParagraph"/>
        <w:rPr>
          <w:rFonts w:ascii="Times New Roman" w:hAnsi="Times New Roman" w:cs="Times New Roman"/>
          <w:b/>
          <w:bCs/>
        </w:rPr>
      </w:pPr>
    </w:p>
    <w:p w14:paraId="2F8CC71D" w14:textId="77777777" w:rsidR="00A02629" w:rsidRPr="00261EC2" w:rsidRDefault="00A02629" w:rsidP="008C491A">
      <w:pPr>
        <w:pStyle w:val="ListParagraph"/>
        <w:rPr>
          <w:rFonts w:ascii="Times New Roman" w:hAnsi="Times New Roman" w:cs="Times New Roman"/>
          <w:b/>
          <w:bCs/>
        </w:rPr>
      </w:pPr>
    </w:p>
    <w:p w14:paraId="546856AB" w14:textId="777DAD8B" w:rsidR="00261EC2" w:rsidRPr="00303BD7" w:rsidRDefault="00261EC2" w:rsidP="007C7329">
      <w:pPr>
        <w:pStyle w:val="ListParagraph"/>
        <w:numPr>
          <w:ilvl w:val="0"/>
          <w:numId w:val="3"/>
        </w:numPr>
        <w:rPr>
          <w:rFonts w:ascii="Times New Roman" w:hAnsi="Times New Roman" w:cs="Times New Roman"/>
          <w:b/>
          <w:bCs/>
        </w:rPr>
      </w:pPr>
      <w:r>
        <w:rPr>
          <w:rFonts w:ascii="Times New Roman" w:hAnsi="Times New Roman" w:cs="Times New Roman"/>
        </w:rPr>
        <w:t xml:space="preserve">Briefly describe how the community/ area benefiting from this project is being impacted by the current drought. </w:t>
      </w:r>
    </w:p>
    <w:p w14:paraId="2B77ADC6" w14:textId="77777777" w:rsidR="00303BD7" w:rsidRPr="00303BD7" w:rsidRDefault="00303BD7" w:rsidP="00303BD7">
      <w:pPr>
        <w:rPr>
          <w:rFonts w:ascii="Times New Roman" w:hAnsi="Times New Roman" w:cs="Times New Roman"/>
          <w:b/>
          <w:bCs/>
        </w:rPr>
      </w:pPr>
    </w:p>
    <w:p w14:paraId="123DAEF4" w14:textId="21BDE830" w:rsidR="008C491A" w:rsidRPr="008C491A" w:rsidRDefault="008C491A" w:rsidP="008C491A">
      <w:pPr>
        <w:pStyle w:val="BodyText"/>
        <w:rPr>
          <w:noProof/>
        </w:rPr>
      </w:pPr>
      <w:r w:rsidRPr="008C491A">
        <w:t>As</w:t>
      </w:r>
      <w:r w:rsidRPr="008C491A">
        <w:rPr>
          <w:noProof/>
        </w:rPr>
        <w:t xml:space="preserve"> stated in response to question #1,  Governor Newsom identified Siskiyou County one of the areas in California experienc</w:t>
      </w:r>
      <w:r w:rsidR="00A102D1">
        <w:rPr>
          <w:noProof/>
        </w:rPr>
        <w:t>ing</w:t>
      </w:r>
      <w:r w:rsidRPr="008C491A">
        <w:rPr>
          <w:noProof/>
        </w:rPr>
        <w:t xml:space="preserve"> an emergency due to drought conditions. </w:t>
      </w:r>
      <w:r w:rsidR="00FC4D5E">
        <w:rPr>
          <w:noProof/>
        </w:rPr>
        <w:t>A</w:t>
      </w:r>
      <w:r w:rsidRPr="008C491A">
        <w:rPr>
          <w:noProof/>
        </w:rPr>
        <w:t>ccording to NOAA's National Integrated Drought Information System (NIDIS</w:t>
      </w:r>
      <w:r w:rsidR="00E52A20">
        <w:rPr>
          <w:rStyle w:val="FootnoteReference"/>
          <w:noProof/>
        </w:rPr>
        <w:footnoteReference w:id="1"/>
      </w:r>
      <w:r w:rsidRPr="008C491A">
        <w:rPr>
          <w:noProof/>
        </w:rPr>
        <w:t>),</w:t>
      </w:r>
      <w:r w:rsidR="007A7C48">
        <w:rPr>
          <w:noProof/>
        </w:rPr>
        <w:t xml:space="preserve"> </w:t>
      </w:r>
      <w:r w:rsidRPr="008C491A">
        <w:rPr>
          <w:noProof/>
        </w:rPr>
        <w:t>100% of people in Siskiyou County are</w:t>
      </w:r>
      <w:r w:rsidR="007A7C48">
        <w:rPr>
          <w:noProof/>
        </w:rPr>
        <w:t xml:space="preserve"> currently (as of March 7, 2022),</w:t>
      </w:r>
      <w:r w:rsidRPr="008C491A">
        <w:rPr>
          <w:noProof/>
        </w:rPr>
        <w:t xml:space="preserve"> affected by drought</w:t>
      </w:r>
      <w:r w:rsidR="00E13CFC">
        <w:rPr>
          <w:noProof/>
        </w:rPr>
        <w:t xml:space="preserve">. The </w:t>
      </w:r>
      <w:r w:rsidRPr="008C491A">
        <w:rPr>
          <w:noProof/>
        </w:rPr>
        <w:t>majority (81.73%) of the County is classified as "D2 - Severe Drought", defined as a condition where "grazing land is inadequate," "the fire season is longer,” and "trees are stressed; plants increase reproductive mechanisms; wildlife diseases increase." Furthermore, 18.27% of the County is classified as "D3 - Extreme Drought" where "livestock need expensive supplemental feed; cattle and horses are sold; little pasture remains; fruit trees bud early; producers begin irrigating in the winter," "fire season lasts year-round; fires occur in typically wet parts of the state; burn bans are implemented,” and "water is inadequate for agriculture, wildlife, and urban needs; reservoirs are extremely low; hydropower is restricted."</w:t>
      </w:r>
    </w:p>
    <w:p w14:paraId="636D7971" w14:textId="0C4AA63F" w:rsidR="008C491A" w:rsidRDefault="00AB26CE" w:rsidP="008C491A">
      <w:pPr>
        <w:pStyle w:val="BodyText"/>
        <w:rPr>
          <w:noProof/>
        </w:rPr>
      </w:pPr>
      <w:r>
        <w:rPr>
          <w:noProof/>
        </w:rPr>
        <w:t>I</w:t>
      </w:r>
      <w:r w:rsidR="008C491A" w:rsidRPr="00E84F21">
        <w:rPr>
          <w:noProof/>
        </w:rPr>
        <w:t>n response to emergency drought conditions and critically low flows in the Scott River watershed, the State Water Resources Control Board issued curtailment orders to water rights holders in the Scott River wat</w:t>
      </w:r>
      <w:r w:rsidR="00EA0489">
        <w:rPr>
          <w:noProof/>
        </w:rPr>
        <w:t>ers</w:t>
      </w:r>
      <w:r w:rsidR="008C491A" w:rsidRPr="00E84F21">
        <w:rPr>
          <w:noProof/>
        </w:rPr>
        <w:t>hed</w:t>
      </w:r>
      <w:r w:rsidR="00C03196">
        <w:rPr>
          <w:noProof/>
        </w:rPr>
        <w:t xml:space="preserve"> in September 2021</w:t>
      </w:r>
      <w:r w:rsidR="008C491A" w:rsidRPr="00E84F21">
        <w:rPr>
          <w:noProof/>
        </w:rPr>
        <w:t>. These curtailment orders were implemented to leave more water instream for human and livestock use as well as for habitat and migratory conditions of anadromous fish including coho salmon, steelhead trout and fall-run Chinook salmon</w:t>
      </w:r>
      <w:r w:rsidR="008B4F8C">
        <w:rPr>
          <w:rStyle w:val="FootnoteReference"/>
          <w:noProof/>
        </w:rPr>
        <w:footnoteReference w:id="2"/>
      </w:r>
      <w:r w:rsidR="008C491A" w:rsidRPr="00E84F21">
        <w:rPr>
          <w:noProof/>
        </w:rPr>
        <w:t xml:space="preserve">.  </w:t>
      </w:r>
    </w:p>
    <w:p w14:paraId="26D880D3" w14:textId="73159940" w:rsidR="0014409A" w:rsidRPr="00E84F21" w:rsidRDefault="00073C85" w:rsidP="008C491A">
      <w:pPr>
        <w:pStyle w:val="BodyText"/>
        <w:rPr>
          <w:noProof/>
        </w:rPr>
      </w:pPr>
      <w:r w:rsidRPr="00696C1F">
        <w:rPr>
          <w:noProof/>
        </w:rPr>
        <w:t xml:space="preserve">Agricultural water users in Scott Valley are concerned about </w:t>
      </w:r>
      <w:r w:rsidR="000E0E66" w:rsidRPr="00696C1F">
        <w:rPr>
          <w:noProof/>
        </w:rPr>
        <w:t>severe</w:t>
      </w:r>
      <w:r w:rsidR="000E0E66">
        <w:rPr>
          <w:noProof/>
        </w:rPr>
        <w:t xml:space="preserve"> reductions in water available for the summer of 2022</w:t>
      </w:r>
      <w:r w:rsidR="00077715">
        <w:rPr>
          <w:noProof/>
        </w:rPr>
        <w:t xml:space="preserve">, and for longer-term </w:t>
      </w:r>
      <w:r w:rsidR="000E7A65">
        <w:rPr>
          <w:noProof/>
        </w:rPr>
        <w:t>economic implications in reductions to water availabiltiy</w:t>
      </w:r>
      <w:r w:rsidR="00696C1F">
        <w:rPr>
          <w:rStyle w:val="FootnoteReference"/>
          <w:noProof/>
        </w:rPr>
        <w:footnoteReference w:id="3"/>
      </w:r>
      <w:r w:rsidR="000E7A65">
        <w:rPr>
          <w:noProof/>
        </w:rPr>
        <w:t xml:space="preserve">. </w:t>
      </w:r>
    </w:p>
    <w:p w14:paraId="447C8246" w14:textId="537CB779" w:rsidR="00261EC2" w:rsidRPr="002D60CD" w:rsidRDefault="001B4A44" w:rsidP="007C7329">
      <w:pPr>
        <w:pStyle w:val="ListParagraph"/>
        <w:numPr>
          <w:ilvl w:val="0"/>
          <w:numId w:val="3"/>
        </w:numPr>
        <w:rPr>
          <w:rFonts w:ascii="Times New Roman" w:hAnsi="Times New Roman" w:cs="Times New Roman"/>
          <w:b/>
          <w:bCs/>
        </w:rPr>
      </w:pPr>
      <w:r>
        <w:rPr>
          <w:rFonts w:ascii="Times New Roman" w:hAnsi="Times New Roman" w:cs="Times New Roman"/>
        </w:rPr>
        <w:t xml:space="preserve">How will this project alleviate the impacts described in your answer to Question 11? </w:t>
      </w:r>
    </w:p>
    <w:p w14:paraId="72978840" w14:textId="4BD5A559" w:rsidR="002D60CD" w:rsidRDefault="002D60CD" w:rsidP="00DD0426">
      <w:pPr>
        <w:pStyle w:val="ListParagraph"/>
        <w:rPr>
          <w:rFonts w:ascii="Times New Roman" w:hAnsi="Times New Roman" w:cs="Times New Roman"/>
        </w:rPr>
      </w:pPr>
    </w:p>
    <w:p w14:paraId="7D15167F" w14:textId="62302FDF" w:rsidR="00F51CF5" w:rsidRDefault="00262A74" w:rsidP="00B96440">
      <w:pPr>
        <w:pStyle w:val="ListParagraph"/>
        <w:rPr>
          <w:rFonts w:ascii="Times New Roman" w:hAnsi="Times New Roman" w:cs="Times New Roman"/>
          <w:b/>
          <w:bCs/>
        </w:rPr>
      </w:pPr>
      <w:r>
        <w:rPr>
          <w:rFonts w:ascii="Times New Roman" w:hAnsi="Times New Roman" w:cs="Times New Roman"/>
          <w:b/>
          <w:bCs/>
        </w:rPr>
        <w:lastRenderedPageBreak/>
        <w:t xml:space="preserve">This project will </w:t>
      </w:r>
      <w:r w:rsidR="00E175C6">
        <w:rPr>
          <w:rFonts w:ascii="Times New Roman" w:hAnsi="Times New Roman" w:cs="Times New Roman"/>
          <w:b/>
          <w:bCs/>
        </w:rPr>
        <w:t xml:space="preserve">use winter flows to augment </w:t>
      </w:r>
      <w:r w:rsidR="00764295">
        <w:rPr>
          <w:rFonts w:ascii="Times New Roman" w:hAnsi="Times New Roman" w:cs="Times New Roman"/>
          <w:b/>
          <w:bCs/>
        </w:rPr>
        <w:t xml:space="preserve">baseflow in the Scott River during critical summer and fall periods. </w:t>
      </w:r>
      <w:r w:rsidR="008965B7">
        <w:rPr>
          <w:rFonts w:ascii="Times New Roman" w:hAnsi="Times New Roman" w:cs="Times New Roman"/>
          <w:b/>
          <w:bCs/>
        </w:rPr>
        <w:t xml:space="preserve">This will </w:t>
      </w:r>
      <w:r w:rsidR="007774AB">
        <w:rPr>
          <w:rFonts w:ascii="Times New Roman" w:hAnsi="Times New Roman" w:cs="Times New Roman"/>
          <w:b/>
          <w:bCs/>
        </w:rPr>
        <w:t xml:space="preserve">primarily </w:t>
      </w:r>
      <w:r w:rsidR="00027352">
        <w:rPr>
          <w:rFonts w:ascii="Times New Roman" w:hAnsi="Times New Roman" w:cs="Times New Roman"/>
          <w:b/>
          <w:bCs/>
        </w:rPr>
        <w:t xml:space="preserve">benefit </w:t>
      </w:r>
      <w:r w:rsidR="00EC45A5">
        <w:rPr>
          <w:rFonts w:ascii="Times New Roman" w:hAnsi="Times New Roman" w:cs="Times New Roman"/>
          <w:b/>
          <w:bCs/>
        </w:rPr>
        <w:t>aquatic environments and species that rely on the</w:t>
      </w:r>
      <w:r w:rsidR="00773280">
        <w:rPr>
          <w:rFonts w:ascii="Times New Roman" w:hAnsi="Times New Roman" w:cs="Times New Roman"/>
          <w:b/>
          <w:bCs/>
        </w:rPr>
        <w:t xml:space="preserve">m </w:t>
      </w:r>
      <w:r w:rsidR="00EC45A5">
        <w:rPr>
          <w:rFonts w:ascii="Times New Roman" w:hAnsi="Times New Roman" w:cs="Times New Roman"/>
          <w:b/>
          <w:bCs/>
        </w:rPr>
        <w:t>such as anadromous fish</w:t>
      </w:r>
      <w:r w:rsidR="00F25AC4">
        <w:rPr>
          <w:rFonts w:ascii="Times New Roman" w:hAnsi="Times New Roman" w:cs="Times New Roman"/>
          <w:b/>
          <w:bCs/>
        </w:rPr>
        <w:t xml:space="preserve">. </w:t>
      </w:r>
      <w:r w:rsidR="00F05A61">
        <w:rPr>
          <w:rFonts w:ascii="Times New Roman" w:hAnsi="Times New Roman" w:cs="Times New Roman"/>
          <w:b/>
          <w:bCs/>
        </w:rPr>
        <w:t xml:space="preserve">Additionally, this project will </w:t>
      </w:r>
      <w:r w:rsidR="0021159E">
        <w:rPr>
          <w:rFonts w:ascii="Times New Roman" w:hAnsi="Times New Roman" w:cs="Times New Roman"/>
          <w:b/>
          <w:bCs/>
        </w:rPr>
        <w:t>increase</w:t>
      </w:r>
      <w:r w:rsidR="00F05A61">
        <w:rPr>
          <w:rFonts w:ascii="Times New Roman" w:hAnsi="Times New Roman" w:cs="Times New Roman"/>
          <w:b/>
          <w:bCs/>
        </w:rPr>
        <w:t xml:space="preserve"> </w:t>
      </w:r>
      <w:r w:rsidR="001A7CEB">
        <w:rPr>
          <w:rFonts w:ascii="Times New Roman" w:hAnsi="Times New Roman" w:cs="Times New Roman"/>
          <w:b/>
          <w:bCs/>
        </w:rPr>
        <w:t>groundwater supply and support urban</w:t>
      </w:r>
      <w:r w:rsidR="003E6B61">
        <w:rPr>
          <w:rFonts w:ascii="Times New Roman" w:hAnsi="Times New Roman" w:cs="Times New Roman"/>
          <w:b/>
          <w:bCs/>
        </w:rPr>
        <w:t xml:space="preserve"> and agricultural water needs. </w:t>
      </w:r>
      <w:r w:rsidR="000A1574">
        <w:rPr>
          <w:rFonts w:ascii="Times New Roman" w:hAnsi="Times New Roman" w:cs="Times New Roman"/>
          <w:b/>
          <w:bCs/>
        </w:rPr>
        <w:t xml:space="preserve"> Increasing water supply and security in Scott Valley will </w:t>
      </w:r>
      <w:r w:rsidR="003528EC">
        <w:rPr>
          <w:rFonts w:ascii="Times New Roman" w:hAnsi="Times New Roman" w:cs="Times New Roman"/>
          <w:b/>
          <w:bCs/>
        </w:rPr>
        <w:t xml:space="preserve">not </w:t>
      </w:r>
      <w:r w:rsidR="006746B2">
        <w:rPr>
          <w:rFonts w:ascii="Times New Roman" w:hAnsi="Times New Roman" w:cs="Times New Roman"/>
          <w:b/>
          <w:bCs/>
        </w:rPr>
        <w:t xml:space="preserve">provide </w:t>
      </w:r>
      <w:r w:rsidR="00DF7CAE">
        <w:rPr>
          <w:rFonts w:ascii="Times New Roman" w:hAnsi="Times New Roman" w:cs="Times New Roman"/>
          <w:b/>
          <w:bCs/>
        </w:rPr>
        <w:t xml:space="preserve">adequate </w:t>
      </w:r>
      <w:r w:rsidR="00845B4F">
        <w:rPr>
          <w:rFonts w:ascii="Times New Roman" w:hAnsi="Times New Roman" w:cs="Times New Roman"/>
          <w:b/>
          <w:bCs/>
        </w:rPr>
        <w:t>water for consumption but will also</w:t>
      </w:r>
      <w:r w:rsidR="00B706AD">
        <w:rPr>
          <w:rFonts w:ascii="Times New Roman" w:hAnsi="Times New Roman" w:cs="Times New Roman"/>
          <w:b/>
          <w:bCs/>
        </w:rPr>
        <w:t xml:space="preserve"> </w:t>
      </w:r>
      <w:r w:rsidR="00615B35">
        <w:rPr>
          <w:rFonts w:ascii="Times New Roman" w:hAnsi="Times New Roman" w:cs="Times New Roman"/>
          <w:b/>
          <w:bCs/>
        </w:rPr>
        <w:t>help to alleviate some of the</w:t>
      </w:r>
      <w:r w:rsidR="00845B4F">
        <w:rPr>
          <w:rFonts w:ascii="Times New Roman" w:hAnsi="Times New Roman" w:cs="Times New Roman"/>
          <w:b/>
          <w:bCs/>
        </w:rPr>
        <w:t xml:space="preserve"> severe</w:t>
      </w:r>
      <w:r w:rsidR="00615B35">
        <w:rPr>
          <w:rFonts w:ascii="Times New Roman" w:hAnsi="Times New Roman" w:cs="Times New Roman"/>
          <w:b/>
          <w:bCs/>
        </w:rPr>
        <w:t xml:space="preserve"> concerns </w:t>
      </w:r>
      <w:r w:rsidR="00B753A6">
        <w:rPr>
          <w:rFonts w:ascii="Times New Roman" w:hAnsi="Times New Roman" w:cs="Times New Roman"/>
          <w:b/>
          <w:bCs/>
        </w:rPr>
        <w:t>over</w:t>
      </w:r>
      <w:r w:rsidR="0021159E">
        <w:rPr>
          <w:rFonts w:ascii="Times New Roman" w:hAnsi="Times New Roman" w:cs="Times New Roman"/>
          <w:b/>
          <w:bCs/>
        </w:rPr>
        <w:t xml:space="preserve"> </w:t>
      </w:r>
      <w:r w:rsidR="00F12543">
        <w:rPr>
          <w:rFonts w:ascii="Times New Roman" w:hAnsi="Times New Roman" w:cs="Times New Roman"/>
          <w:b/>
          <w:bCs/>
        </w:rPr>
        <w:t xml:space="preserve">economic sustainability in the </w:t>
      </w:r>
      <w:r w:rsidR="00481349">
        <w:rPr>
          <w:rFonts w:ascii="Times New Roman" w:hAnsi="Times New Roman" w:cs="Times New Roman"/>
          <w:b/>
          <w:bCs/>
        </w:rPr>
        <w:t>area</w:t>
      </w:r>
      <w:r w:rsidR="00053A13">
        <w:rPr>
          <w:rFonts w:ascii="Times New Roman" w:hAnsi="Times New Roman" w:cs="Times New Roman"/>
          <w:b/>
          <w:bCs/>
        </w:rPr>
        <w:t>,</w:t>
      </w:r>
      <w:r w:rsidR="00883400">
        <w:rPr>
          <w:rFonts w:ascii="Times New Roman" w:hAnsi="Times New Roman" w:cs="Times New Roman"/>
          <w:b/>
          <w:bCs/>
        </w:rPr>
        <w:t xml:space="preserve"> </w:t>
      </w:r>
      <w:r w:rsidR="00FB28A5">
        <w:rPr>
          <w:rFonts w:ascii="Times New Roman" w:hAnsi="Times New Roman" w:cs="Times New Roman"/>
          <w:b/>
          <w:bCs/>
        </w:rPr>
        <w:t xml:space="preserve">as discussed in response to Question </w:t>
      </w:r>
      <w:r w:rsidR="009737FE">
        <w:rPr>
          <w:rFonts w:ascii="Times New Roman" w:hAnsi="Times New Roman" w:cs="Times New Roman"/>
          <w:b/>
          <w:bCs/>
        </w:rPr>
        <w:t>#</w:t>
      </w:r>
      <w:r w:rsidR="00FB28A5">
        <w:rPr>
          <w:rFonts w:ascii="Times New Roman" w:hAnsi="Times New Roman" w:cs="Times New Roman"/>
          <w:b/>
          <w:bCs/>
        </w:rPr>
        <w:t xml:space="preserve">11. </w:t>
      </w:r>
    </w:p>
    <w:p w14:paraId="71405094" w14:textId="77777777" w:rsidR="00D6309F" w:rsidRPr="00B96440" w:rsidRDefault="00D6309F" w:rsidP="00B96440">
      <w:pPr>
        <w:pStyle w:val="ListParagraph"/>
        <w:rPr>
          <w:rFonts w:ascii="Times New Roman" w:hAnsi="Times New Roman" w:cs="Times New Roman"/>
          <w:b/>
          <w:bCs/>
        </w:rPr>
      </w:pPr>
    </w:p>
    <w:p w14:paraId="2BB77463" w14:textId="41D0A2EE" w:rsidR="009E355D" w:rsidRDefault="009E355D" w:rsidP="009E355D">
      <w:pPr>
        <w:rPr>
          <w:rFonts w:ascii="Times New Roman" w:hAnsi="Times New Roman" w:cs="Times New Roman"/>
          <w:b/>
          <w:bCs/>
        </w:rPr>
      </w:pPr>
    </w:p>
    <w:p w14:paraId="7C0753EB" w14:textId="77777777" w:rsidR="00A02D33" w:rsidRPr="009E355D" w:rsidRDefault="00A02D33" w:rsidP="009E355D">
      <w:pPr>
        <w:rPr>
          <w:rFonts w:ascii="Times New Roman" w:hAnsi="Times New Roman" w:cs="Times New Roman"/>
          <w:b/>
          <w:bCs/>
        </w:rPr>
      </w:pPr>
    </w:p>
    <w:p w14:paraId="1031B3A7" w14:textId="3297FA17" w:rsidR="006A49FD" w:rsidRPr="00E84F21" w:rsidRDefault="001B4A44" w:rsidP="006A49FD">
      <w:pPr>
        <w:pStyle w:val="BodyText"/>
        <w:rPr>
          <w:noProof/>
        </w:rPr>
      </w:pPr>
      <w:r>
        <w:rPr>
          <w:rFonts w:cs="Times New Roman"/>
        </w:rPr>
        <w:t xml:space="preserve">Please complete the following budget table for this project. (Identify funding sources in Question 15). </w:t>
      </w:r>
    </w:p>
    <w:p w14:paraId="7A67598D" w14:textId="5DC5B77A" w:rsidR="001B4A44" w:rsidRPr="006A49FD" w:rsidRDefault="001B4A44" w:rsidP="006A49FD">
      <w:pPr>
        <w:rPr>
          <w:rFonts w:ascii="Times New Roman" w:hAnsi="Times New Roman" w:cs="Times New Roman"/>
          <w:b/>
          <w:bCs/>
        </w:rPr>
      </w:pPr>
    </w:p>
    <w:p w14:paraId="0B93E024" w14:textId="77777777" w:rsidR="006F026F" w:rsidRPr="001B4A44" w:rsidRDefault="006F026F" w:rsidP="00CE49FD">
      <w:pPr>
        <w:pStyle w:val="ListParagraph"/>
        <w:rPr>
          <w:rFonts w:ascii="Times New Roman" w:hAnsi="Times New Roman" w:cs="Times New Roman"/>
          <w:b/>
          <w:bCs/>
        </w:rPr>
      </w:pPr>
    </w:p>
    <w:tbl>
      <w:tblPr>
        <w:tblStyle w:val="TableGrid"/>
        <w:tblW w:w="0" w:type="auto"/>
        <w:tblLook w:val="04A0" w:firstRow="1" w:lastRow="0" w:firstColumn="1" w:lastColumn="0" w:noHBand="0" w:noVBand="1"/>
      </w:tblPr>
      <w:tblGrid>
        <w:gridCol w:w="625"/>
        <w:gridCol w:w="3045"/>
        <w:gridCol w:w="1946"/>
        <w:gridCol w:w="1877"/>
        <w:gridCol w:w="1857"/>
      </w:tblGrid>
      <w:tr w:rsidR="0069032E" w14:paraId="11993B1E" w14:textId="77777777" w:rsidTr="0069032E">
        <w:trPr>
          <w:trHeight w:val="359"/>
        </w:trPr>
        <w:tc>
          <w:tcPr>
            <w:tcW w:w="625" w:type="dxa"/>
          </w:tcPr>
          <w:p w14:paraId="42EC79E0" w14:textId="77777777" w:rsidR="0069032E" w:rsidRDefault="0069032E" w:rsidP="001B4A44">
            <w:pPr>
              <w:rPr>
                <w:rFonts w:ascii="Times New Roman" w:hAnsi="Times New Roman" w:cs="Times New Roman"/>
                <w:b/>
                <w:bCs/>
              </w:rPr>
            </w:pPr>
          </w:p>
        </w:tc>
        <w:tc>
          <w:tcPr>
            <w:tcW w:w="3045" w:type="dxa"/>
          </w:tcPr>
          <w:p w14:paraId="42C486C9" w14:textId="517CFC6B" w:rsidR="0069032E" w:rsidRDefault="0069032E" w:rsidP="001B4A44">
            <w:pPr>
              <w:rPr>
                <w:rFonts w:ascii="Times New Roman" w:hAnsi="Times New Roman" w:cs="Times New Roman"/>
                <w:b/>
                <w:bCs/>
              </w:rPr>
            </w:pPr>
            <w:r>
              <w:rPr>
                <w:rFonts w:ascii="Times New Roman" w:hAnsi="Times New Roman" w:cs="Times New Roman"/>
                <w:b/>
                <w:bCs/>
              </w:rPr>
              <w:t>Budget Category</w:t>
            </w:r>
          </w:p>
        </w:tc>
        <w:tc>
          <w:tcPr>
            <w:tcW w:w="1946" w:type="dxa"/>
          </w:tcPr>
          <w:p w14:paraId="0873B792" w14:textId="31F503E3" w:rsidR="0069032E" w:rsidRDefault="0069032E" w:rsidP="001B4A44">
            <w:pPr>
              <w:rPr>
                <w:rFonts w:ascii="Times New Roman" w:hAnsi="Times New Roman" w:cs="Times New Roman"/>
                <w:b/>
                <w:bCs/>
              </w:rPr>
            </w:pPr>
            <w:r>
              <w:rPr>
                <w:rFonts w:ascii="Times New Roman" w:hAnsi="Times New Roman" w:cs="Times New Roman"/>
                <w:b/>
                <w:bCs/>
              </w:rPr>
              <w:t>Grant Amount</w:t>
            </w:r>
          </w:p>
        </w:tc>
        <w:tc>
          <w:tcPr>
            <w:tcW w:w="1877" w:type="dxa"/>
          </w:tcPr>
          <w:p w14:paraId="5A561AC1" w14:textId="1B1A31C0" w:rsidR="0069032E" w:rsidRDefault="0069032E" w:rsidP="001B4A44">
            <w:pPr>
              <w:rPr>
                <w:rFonts w:ascii="Times New Roman" w:hAnsi="Times New Roman" w:cs="Times New Roman"/>
                <w:b/>
                <w:bCs/>
              </w:rPr>
            </w:pPr>
            <w:r>
              <w:rPr>
                <w:rFonts w:ascii="Times New Roman" w:hAnsi="Times New Roman" w:cs="Times New Roman"/>
                <w:b/>
                <w:bCs/>
              </w:rPr>
              <w:t>All Other Cost</w:t>
            </w:r>
          </w:p>
        </w:tc>
        <w:tc>
          <w:tcPr>
            <w:tcW w:w="1857" w:type="dxa"/>
          </w:tcPr>
          <w:p w14:paraId="344D393A" w14:textId="4D0935F4" w:rsidR="0069032E" w:rsidRDefault="0069032E" w:rsidP="001B4A44">
            <w:pPr>
              <w:rPr>
                <w:rFonts w:ascii="Times New Roman" w:hAnsi="Times New Roman" w:cs="Times New Roman"/>
                <w:b/>
                <w:bCs/>
              </w:rPr>
            </w:pPr>
            <w:r>
              <w:rPr>
                <w:rFonts w:ascii="Times New Roman" w:hAnsi="Times New Roman" w:cs="Times New Roman"/>
                <w:b/>
                <w:bCs/>
              </w:rPr>
              <w:t>Total</w:t>
            </w:r>
          </w:p>
        </w:tc>
      </w:tr>
      <w:tr w:rsidR="0069032E" w14:paraId="32F881B3" w14:textId="77777777" w:rsidTr="0069032E">
        <w:tc>
          <w:tcPr>
            <w:tcW w:w="625" w:type="dxa"/>
          </w:tcPr>
          <w:p w14:paraId="45F9797B" w14:textId="63D7417A" w:rsidR="0069032E" w:rsidRDefault="0069032E" w:rsidP="001B4A44">
            <w:pPr>
              <w:rPr>
                <w:rFonts w:ascii="Times New Roman" w:hAnsi="Times New Roman" w:cs="Times New Roman"/>
                <w:b/>
                <w:bCs/>
              </w:rPr>
            </w:pPr>
            <w:r>
              <w:rPr>
                <w:rFonts w:ascii="Times New Roman" w:hAnsi="Times New Roman" w:cs="Times New Roman"/>
                <w:b/>
                <w:bCs/>
              </w:rPr>
              <w:t>(a)</w:t>
            </w:r>
          </w:p>
        </w:tc>
        <w:tc>
          <w:tcPr>
            <w:tcW w:w="3045" w:type="dxa"/>
          </w:tcPr>
          <w:p w14:paraId="3E7DA798" w14:textId="5776432A" w:rsidR="0069032E" w:rsidRPr="00A570DA" w:rsidRDefault="00812F8B" w:rsidP="001B4A44">
            <w:pPr>
              <w:rPr>
                <w:rFonts w:ascii="Times New Roman" w:hAnsi="Times New Roman" w:cs="Times New Roman"/>
              </w:rPr>
            </w:pPr>
            <w:r w:rsidRPr="00A570DA">
              <w:rPr>
                <w:rFonts w:ascii="Times New Roman" w:hAnsi="Times New Roman" w:cs="Times New Roman"/>
              </w:rPr>
              <w:t>Project Administration</w:t>
            </w:r>
          </w:p>
        </w:tc>
        <w:tc>
          <w:tcPr>
            <w:tcW w:w="1946" w:type="dxa"/>
          </w:tcPr>
          <w:p w14:paraId="759346CF" w14:textId="77777777" w:rsidR="0069032E" w:rsidRDefault="0069032E" w:rsidP="001B4A44">
            <w:pPr>
              <w:rPr>
                <w:rFonts w:ascii="Times New Roman" w:hAnsi="Times New Roman" w:cs="Times New Roman"/>
                <w:b/>
                <w:bCs/>
              </w:rPr>
            </w:pPr>
          </w:p>
        </w:tc>
        <w:tc>
          <w:tcPr>
            <w:tcW w:w="1877" w:type="dxa"/>
          </w:tcPr>
          <w:p w14:paraId="2E10762D" w14:textId="77777777" w:rsidR="0069032E" w:rsidRDefault="0069032E" w:rsidP="001B4A44">
            <w:pPr>
              <w:rPr>
                <w:rFonts w:ascii="Times New Roman" w:hAnsi="Times New Roman" w:cs="Times New Roman"/>
                <w:b/>
                <w:bCs/>
              </w:rPr>
            </w:pPr>
          </w:p>
        </w:tc>
        <w:tc>
          <w:tcPr>
            <w:tcW w:w="1857" w:type="dxa"/>
          </w:tcPr>
          <w:p w14:paraId="4892634E" w14:textId="77777777" w:rsidR="0069032E" w:rsidRDefault="0069032E" w:rsidP="001B4A44">
            <w:pPr>
              <w:rPr>
                <w:rFonts w:ascii="Times New Roman" w:hAnsi="Times New Roman" w:cs="Times New Roman"/>
                <w:b/>
                <w:bCs/>
              </w:rPr>
            </w:pPr>
          </w:p>
        </w:tc>
      </w:tr>
      <w:tr w:rsidR="0069032E" w14:paraId="441CE44F" w14:textId="77777777" w:rsidTr="0069032E">
        <w:tc>
          <w:tcPr>
            <w:tcW w:w="625" w:type="dxa"/>
          </w:tcPr>
          <w:p w14:paraId="01434545" w14:textId="1F502201" w:rsidR="0069032E" w:rsidRDefault="0069032E" w:rsidP="001B4A44">
            <w:pPr>
              <w:rPr>
                <w:rFonts w:ascii="Times New Roman" w:hAnsi="Times New Roman" w:cs="Times New Roman"/>
                <w:b/>
                <w:bCs/>
              </w:rPr>
            </w:pPr>
            <w:r>
              <w:rPr>
                <w:rFonts w:ascii="Times New Roman" w:hAnsi="Times New Roman" w:cs="Times New Roman"/>
                <w:b/>
                <w:bCs/>
              </w:rPr>
              <w:t>(b)</w:t>
            </w:r>
          </w:p>
        </w:tc>
        <w:tc>
          <w:tcPr>
            <w:tcW w:w="3045" w:type="dxa"/>
          </w:tcPr>
          <w:p w14:paraId="02948C1E" w14:textId="3F9202F5" w:rsidR="0069032E" w:rsidRPr="00A570DA" w:rsidRDefault="00812F8B" w:rsidP="001B4A44">
            <w:pPr>
              <w:rPr>
                <w:rFonts w:ascii="Times New Roman" w:hAnsi="Times New Roman" w:cs="Times New Roman"/>
              </w:rPr>
            </w:pPr>
            <w:r w:rsidRPr="00A570DA">
              <w:rPr>
                <w:rFonts w:ascii="Times New Roman" w:hAnsi="Times New Roman" w:cs="Times New Roman"/>
              </w:rPr>
              <w:t>Land Purchase/ Easement</w:t>
            </w:r>
          </w:p>
        </w:tc>
        <w:tc>
          <w:tcPr>
            <w:tcW w:w="1946" w:type="dxa"/>
          </w:tcPr>
          <w:p w14:paraId="17D01771" w14:textId="77777777" w:rsidR="0069032E" w:rsidRDefault="0069032E" w:rsidP="001B4A44">
            <w:pPr>
              <w:rPr>
                <w:rFonts w:ascii="Times New Roman" w:hAnsi="Times New Roman" w:cs="Times New Roman"/>
                <w:b/>
                <w:bCs/>
              </w:rPr>
            </w:pPr>
          </w:p>
        </w:tc>
        <w:tc>
          <w:tcPr>
            <w:tcW w:w="1877" w:type="dxa"/>
          </w:tcPr>
          <w:p w14:paraId="25201AE7" w14:textId="77777777" w:rsidR="0069032E" w:rsidRDefault="0069032E" w:rsidP="001B4A44">
            <w:pPr>
              <w:rPr>
                <w:rFonts w:ascii="Times New Roman" w:hAnsi="Times New Roman" w:cs="Times New Roman"/>
                <w:b/>
                <w:bCs/>
              </w:rPr>
            </w:pPr>
          </w:p>
        </w:tc>
        <w:tc>
          <w:tcPr>
            <w:tcW w:w="1857" w:type="dxa"/>
          </w:tcPr>
          <w:p w14:paraId="5BB4DA05" w14:textId="77777777" w:rsidR="0069032E" w:rsidRDefault="0069032E" w:rsidP="001B4A44">
            <w:pPr>
              <w:rPr>
                <w:rFonts w:ascii="Times New Roman" w:hAnsi="Times New Roman" w:cs="Times New Roman"/>
                <w:b/>
                <w:bCs/>
              </w:rPr>
            </w:pPr>
          </w:p>
        </w:tc>
      </w:tr>
      <w:tr w:rsidR="0069032E" w14:paraId="21761DDC" w14:textId="77777777" w:rsidTr="0069032E">
        <w:tc>
          <w:tcPr>
            <w:tcW w:w="625" w:type="dxa"/>
          </w:tcPr>
          <w:p w14:paraId="63B04C90" w14:textId="5229133C" w:rsidR="0069032E" w:rsidRDefault="0069032E" w:rsidP="001B4A44">
            <w:pPr>
              <w:rPr>
                <w:rFonts w:ascii="Times New Roman" w:hAnsi="Times New Roman" w:cs="Times New Roman"/>
                <w:b/>
                <w:bCs/>
              </w:rPr>
            </w:pPr>
            <w:r>
              <w:rPr>
                <w:rFonts w:ascii="Times New Roman" w:hAnsi="Times New Roman" w:cs="Times New Roman"/>
                <w:b/>
                <w:bCs/>
              </w:rPr>
              <w:t xml:space="preserve">(c) </w:t>
            </w:r>
          </w:p>
        </w:tc>
        <w:tc>
          <w:tcPr>
            <w:tcW w:w="3045" w:type="dxa"/>
          </w:tcPr>
          <w:p w14:paraId="7D76190F" w14:textId="2553FF62" w:rsidR="0069032E" w:rsidRPr="00A570DA" w:rsidRDefault="00812F8B" w:rsidP="001B4A44">
            <w:pPr>
              <w:rPr>
                <w:rFonts w:ascii="Times New Roman" w:hAnsi="Times New Roman" w:cs="Times New Roman"/>
              </w:rPr>
            </w:pPr>
            <w:r w:rsidRPr="00A570DA">
              <w:rPr>
                <w:rFonts w:ascii="Times New Roman" w:hAnsi="Times New Roman" w:cs="Times New Roman"/>
              </w:rPr>
              <w:t>Planning/ Design/ Engineering/ Environmental Documentation</w:t>
            </w:r>
          </w:p>
        </w:tc>
        <w:tc>
          <w:tcPr>
            <w:tcW w:w="1946" w:type="dxa"/>
          </w:tcPr>
          <w:p w14:paraId="36AC521B" w14:textId="77777777" w:rsidR="0069032E" w:rsidRDefault="0069032E" w:rsidP="001B4A44">
            <w:pPr>
              <w:rPr>
                <w:rFonts w:ascii="Times New Roman" w:hAnsi="Times New Roman" w:cs="Times New Roman"/>
                <w:b/>
                <w:bCs/>
              </w:rPr>
            </w:pPr>
          </w:p>
        </w:tc>
        <w:tc>
          <w:tcPr>
            <w:tcW w:w="1877" w:type="dxa"/>
          </w:tcPr>
          <w:p w14:paraId="0BD6A0D1" w14:textId="77777777" w:rsidR="0069032E" w:rsidRDefault="0069032E" w:rsidP="001B4A44">
            <w:pPr>
              <w:rPr>
                <w:rFonts w:ascii="Times New Roman" w:hAnsi="Times New Roman" w:cs="Times New Roman"/>
                <w:b/>
                <w:bCs/>
              </w:rPr>
            </w:pPr>
          </w:p>
        </w:tc>
        <w:tc>
          <w:tcPr>
            <w:tcW w:w="1857" w:type="dxa"/>
          </w:tcPr>
          <w:p w14:paraId="43E41E95" w14:textId="77777777" w:rsidR="0069032E" w:rsidRDefault="0069032E" w:rsidP="001B4A44">
            <w:pPr>
              <w:rPr>
                <w:rFonts w:ascii="Times New Roman" w:hAnsi="Times New Roman" w:cs="Times New Roman"/>
                <w:b/>
                <w:bCs/>
              </w:rPr>
            </w:pPr>
          </w:p>
        </w:tc>
      </w:tr>
      <w:tr w:rsidR="0069032E" w14:paraId="7612B493" w14:textId="77777777" w:rsidTr="0069032E">
        <w:tc>
          <w:tcPr>
            <w:tcW w:w="625" w:type="dxa"/>
          </w:tcPr>
          <w:p w14:paraId="53176371" w14:textId="493D2752" w:rsidR="0069032E" w:rsidRDefault="0069032E" w:rsidP="001B4A44">
            <w:pPr>
              <w:rPr>
                <w:rFonts w:ascii="Times New Roman" w:hAnsi="Times New Roman" w:cs="Times New Roman"/>
                <w:b/>
                <w:bCs/>
              </w:rPr>
            </w:pPr>
            <w:r>
              <w:rPr>
                <w:rFonts w:ascii="Times New Roman" w:hAnsi="Times New Roman" w:cs="Times New Roman"/>
                <w:b/>
                <w:bCs/>
              </w:rPr>
              <w:t>(d)</w:t>
            </w:r>
          </w:p>
        </w:tc>
        <w:tc>
          <w:tcPr>
            <w:tcW w:w="3045" w:type="dxa"/>
          </w:tcPr>
          <w:p w14:paraId="434ECE0D" w14:textId="0CE8E993" w:rsidR="0069032E" w:rsidRPr="00A570DA" w:rsidRDefault="00812F8B" w:rsidP="001B4A44">
            <w:pPr>
              <w:rPr>
                <w:rFonts w:ascii="Times New Roman" w:hAnsi="Times New Roman" w:cs="Times New Roman"/>
              </w:rPr>
            </w:pPr>
            <w:r w:rsidRPr="00A570DA">
              <w:rPr>
                <w:rFonts w:ascii="Times New Roman" w:hAnsi="Times New Roman" w:cs="Times New Roman"/>
              </w:rPr>
              <w:t>Construction/ Implementation</w:t>
            </w:r>
          </w:p>
        </w:tc>
        <w:tc>
          <w:tcPr>
            <w:tcW w:w="1946" w:type="dxa"/>
          </w:tcPr>
          <w:p w14:paraId="4143A70F" w14:textId="77777777" w:rsidR="0069032E" w:rsidRDefault="0069032E" w:rsidP="001B4A44">
            <w:pPr>
              <w:rPr>
                <w:rFonts w:ascii="Times New Roman" w:hAnsi="Times New Roman" w:cs="Times New Roman"/>
                <w:b/>
                <w:bCs/>
              </w:rPr>
            </w:pPr>
          </w:p>
        </w:tc>
        <w:tc>
          <w:tcPr>
            <w:tcW w:w="1877" w:type="dxa"/>
          </w:tcPr>
          <w:p w14:paraId="5B6CB839" w14:textId="77777777" w:rsidR="0069032E" w:rsidRDefault="0069032E" w:rsidP="001B4A44">
            <w:pPr>
              <w:rPr>
                <w:rFonts w:ascii="Times New Roman" w:hAnsi="Times New Roman" w:cs="Times New Roman"/>
                <w:b/>
                <w:bCs/>
              </w:rPr>
            </w:pPr>
          </w:p>
        </w:tc>
        <w:tc>
          <w:tcPr>
            <w:tcW w:w="1857" w:type="dxa"/>
          </w:tcPr>
          <w:p w14:paraId="74E45160" w14:textId="77777777" w:rsidR="0069032E" w:rsidRDefault="0069032E" w:rsidP="001B4A44">
            <w:pPr>
              <w:rPr>
                <w:rFonts w:ascii="Times New Roman" w:hAnsi="Times New Roman" w:cs="Times New Roman"/>
                <w:b/>
                <w:bCs/>
              </w:rPr>
            </w:pPr>
          </w:p>
        </w:tc>
      </w:tr>
      <w:tr w:rsidR="00274559" w14:paraId="39706595" w14:textId="77777777" w:rsidTr="0069032E">
        <w:tc>
          <w:tcPr>
            <w:tcW w:w="625" w:type="dxa"/>
          </w:tcPr>
          <w:p w14:paraId="3A38066D" w14:textId="7EF91FD4" w:rsidR="00274559" w:rsidRDefault="00274559" w:rsidP="001B4A44">
            <w:pPr>
              <w:rPr>
                <w:rFonts w:ascii="Times New Roman" w:hAnsi="Times New Roman" w:cs="Times New Roman"/>
                <w:b/>
                <w:bCs/>
              </w:rPr>
            </w:pPr>
          </w:p>
        </w:tc>
        <w:tc>
          <w:tcPr>
            <w:tcW w:w="3045" w:type="dxa"/>
          </w:tcPr>
          <w:p w14:paraId="125B532D" w14:textId="22004238" w:rsidR="00274559" w:rsidRPr="00274559" w:rsidRDefault="00274559" w:rsidP="001B4A44">
            <w:pPr>
              <w:rPr>
                <w:rFonts w:ascii="Times New Roman" w:hAnsi="Times New Roman" w:cs="Times New Roman"/>
                <w:b/>
                <w:bCs/>
              </w:rPr>
            </w:pPr>
            <w:r w:rsidRPr="00274559">
              <w:rPr>
                <w:rFonts w:ascii="Times New Roman" w:hAnsi="Times New Roman" w:cs="Times New Roman"/>
                <w:b/>
                <w:bCs/>
              </w:rPr>
              <w:t xml:space="preserve">TOTAL COSTS </w:t>
            </w:r>
          </w:p>
        </w:tc>
        <w:tc>
          <w:tcPr>
            <w:tcW w:w="1946" w:type="dxa"/>
          </w:tcPr>
          <w:p w14:paraId="54929513" w14:textId="77777777" w:rsidR="00274559" w:rsidRDefault="00274559" w:rsidP="001B4A44">
            <w:pPr>
              <w:rPr>
                <w:rFonts w:ascii="Times New Roman" w:hAnsi="Times New Roman" w:cs="Times New Roman"/>
                <w:b/>
                <w:bCs/>
              </w:rPr>
            </w:pPr>
          </w:p>
        </w:tc>
        <w:tc>
          <w:tcPr>
            <w:tcW w:w="1877" w:type="dxa"/>
          </w:tcPr>
          <w:p w14:paraId="166DEECB" w14:textId="77777777" w:rsidR="00274559" w:rsidRDefault="00274559" w:rsidP="001B4A44">
            <w:pPr>
              <w:rPr>
                <w:rFonts w:ascii="Times New Roman" w:hAnsi="Times New Roman" w:cs="Times New Roman"/>
                <w:b/>
                <w:bCs/>
              </w:rPr>
            </w:pPr>
          </w:p>
        </w:tc>
        <w:tc>
          <w:tcPr>
            <w:tcW w:w="1857" w:type="dxa"/>
          </w:tcPr>
          <w:p w14:paraId="126EA303" w14:textId="77777777" w:rsidR="00274559" w:rsidRDefault="00274559" w:rsidP="001B4A44">
            <w:pPr>
              <w:rPr>
                <w:rFonts w:ascii="Times New Roman" w:hAnsi="Times New Roman" w:cs="Times New Roman"/>
                <w:b/>
                <w:bCs/>
              </w:rPr>
            </w:pPr>
          </w:p>
        </w:tc>
      </w:tr>
    </w:tbl>
    <w:p w14:paraId="1246C49B" w14:textId="0B6223AB" w:rsidR="00254777" w:rsidRDefault="00726F22" w:rsidP="00A45FFE">
      <w:pPr>
        <w:pStyle w:val="BodyText"/>
        <w:rPr>
          <w:noProof/>
          <w:highlight w:val="yellow"/>
        </w:rPr>
      </w:pPr>
      <w:r w:rsidRPr="002C76E5">
        <w:rPr>
          <w:noProof/>
          <w:highlight w:val="yellow"/>
        </w:rPr>
        <w:t>[</w:t>
      </w:r>
      <w:r>
        <w:rPr>
          <w:noProof/>
          <w:highlight w:val="yellow"/>
        </w:rPr>
        <w:t>budget-</w:t>
      </w:r>
      <w:r w:rsidRPr="002C76E5">
        <w:rPr>
          <w:noProof/>
          <w:highlight w:val="yellow"/>
        </w:rPr>
        <w:t xml:space="preserve"> </w:t>
      </w:r>
      <w:r>
        <w:rPr>
          <w:noProof/>
          <w:highlight w:val="yellow"/>
        </w:rPr>
        <w:t>incomplete</w:t>
      </w:r>
      <w:r w:rsidRPr="002C76E5">
        <w:rPr>
          <w:noProof/>
          <w:highlight w:val="yellow"/>
        </w:rPr>
        <w:t>**]</w:t>
      </w:r>
    </w:p>
    <w:p w14:paraId="532CF2E7" w14:textId="27C2DC21" w:rsidR="001B4A44" w:rsidRDefault="001B4A44" w:rsidP="001B4A44">
      <w:pPr>
        <w:rPr>
          <w:rFonts w:ascii="Times New Roman" w:hAnsi="Times New Roman" w:cs="Times New Roman"/>
          <w:b/>
          <w:bCs/>
        </w:rPr>
      </w:pPr>
    </w:p>
    <w:p w14:paraId="79839A01" w14:textId="66A094BF" w:rsidR="00CD18DA" w:rsidRPr="00D6204B" w:rsidRDefault="00CD18DA" w:rsidP="00CD18DA">
      <w:pPr>
        <w:pStyle w:val="ListParagraph"/>
        <w:numPr>
          <w:ilvl w:val="0"/>
          <w:numId w:val="3"/>
        </w:numPr>
        <w:rPr>
          <w:rFonts w:ascii="Times New Roman" w:hAnsi="Times New Roman" w:cs="Times New Roman"/>
          <w:b/>
          <w:bCs/>
        </w:rPr>
      </w:pPr>
      <w:r>
        <w:rPr>
          <w:rFonts w:ascii="Times New Roman" w:hAnsi="Times New Roman" w:cs="Times New Roman"/>
        </w:rPr>
        <w:t xml:space="preserve">Please describe why state funding is needed for this project. If state funding is not secured what will happen to the project? </w:t>
      </w:r>
    </w:p>
    <w:p w14:paraId="39774D1C" w14:textId="77777777" w:rsidR="00D6204B" w:rsidRPr="00684E43" w:rsidRDefault="00D6204B" w:rsidP="00A45FFE">
      <w:pPr>
        <w:pStyle w:val="ListParagraph"/>
        <w:rPr>
          <w:rFonts w:ascii="Times New Roman" w:hAnsi="Times New Roman" w:cs="Times New Roman"/>
          <w:b/>
          <w:bCs/>
        </w:rPr>
      </w:pPr>
    </w:p>
    <w:p w14:paraId="1DF64C2D" w14:textId="0F540889" w:rsidR="00684E43" w:rsidRDefault="00D6204B" w:rsidP="00684E43">
      <w:pPr>
        <w:pStyle w:val="ListParagraph"/>
        <w:rPr>
          <w:rFonts w:ascii="Times New Roman" w:hAnsi="Times New Roman" w:cs="Times New Roman"/>
          <w:b/>
          <w:bCs/>
          <w:noProof/>
        </w:rPr>
      </w:pPr>
      <w:r w:rsidRPr="00D6204B">
        <w:rPr>
          <w:rFonts w:ascii="Times New Roman" w:hAnsi="Times New Roman" w:cs="Times New Roman"/>
          <w:b/>
          <w:bCs/>
        </w:rPr>
        <w:t xml:space="preserve">The DAC Mapping Tool (available: https://gis.water.ca.gov/app/dacs/) categorizes communities based on the median household </w:t>
      </w:r>
      <w:r w:rsidR="00951B0A" w:rsidRPr="00D6204B">
        <w:rPr>
          <w:rFonts w:ascii="Times New Roman" w:hAnsi="Times New Roman" w:cs="Times New Roman"/>
          <w:b/>
          <w:bCs/>
        </w:rPr>
        <w:t>income (</w:t>
      </w:r>
      <w:r w:rsidRPr="00D6204B">
        <w:rPr>
          <w:rFonts w:ascii="Times New Roman" w:hAnsi="Times New Roman" w:cs="Times New Roman"/>
          <w:b/>
          <w:bCs/>
        </w:rPr>
        <w:t xml:space="preserve">MHI) as compared to the State average. </w:t>
      </w:r>
      <w:r w:rsidRPr="00D6204B">
        <w:rPr>
          <w:rFonts w:ascii="Times New Roman" w:hAnsi="Times New Roman" w:cs="Times New Roman"/>
          <w:b/>
          <w:bCs/>
          <w:noProof/>
        </w:rPr>
        <w:t xml:space="preserve">The two major population centers in Scott Valley are Etna and Fort Jones,  both of which qualify as a disadvantaged community. Etna is classified as a Disadvantaged Community (DAC), and Fort Jones is identified Severely Disadvantaged Community (SDAC). The entirety of Scott Valley is located within Census Tracts that are designated as DACs.  Human and environmental impacts due to drought are significant in Scott Valley and the County does not have financial resources to respond to implement projects and actions to respond to these impacts. Without state funding these projects are likely to be downsized significantly, if they are undertaken at all.  </w:t>
      </w:r>
    </w:p>
    <w:p w14:paraId="09BB93F9" w14:textId="77777777" w:rsidR="00D6204B" w:rsidRPr="00D6204B" w:rsidRDefault="00D6204B" w:rsidP="00D6204B">
      <w:pPr>
        <w:rPr>
          <w:rFonts w:ascii="Times New Roman" w:hAnsi="Times New Roman" w:cs="Times New Roman"/>
          <w:b/>
          <w:bCs/>
        </w:rPr>
      </w:pPr>
    </w:p>
    <w:p w14:paraId="34BAB16E" w14:textId="618484D2" w:rsidR="001708E6" w:rsidRPr="005143B4" w:rsidRDefault="001708E6" w:rsidP="00CD18DA">
      <w:pPr>
        <w:pStyle w:val="ListParagraph"/>
        <w:numPr>
          <w:ilvl w:val="0"/>
          <w:numId w:val="3"/>
        </w:numPr>
        <w:rPr>
          <w:rFonts w:ascii="Times New Roman" w:hAnsi="Times New Roman" w:cs="Times New Roman"/>
          <w:b/>
          <w:bCs/>
        </w:rPr>
      </w:pPr>
      <w:r>
        <w:rPr>
          <w:rFonts w:ascii="Times New Roman" w:hAnsi="Times New Roman" w:cs="Times New Roman"/>
        </w:rPr>
        <w:t>Will the applicant provide cost share (encouraged but not required) and/or will th</w:t>
      </w:r>
      <w:r w:rsidR="00A73877">
        <w:rPr>
          <w:rFonts w:ascii="Times New Roman" w:hAnsi="Times New Roman" w:cs="Times New Roman"/>
        </w:rPr>
        <w:t xml:space="preserve">is project require any additional </w:t>
      </w:r>
      <w:r w:rsidR="00197370">
        <w:rPr>
          <w:rFonts w:ascii="Times New Roman" w:hAnsi="Times New Roman" w:cs="Times New Roman"/>
        </w:rPr>
        <w:t>funding</w:t>
      </w:r>
      <w:r w:rsidR="00A73877">
        <w:rPr>
          <w:rFonts w:ascii="Times New Roman" w:hAnsi="Times New Roman" w:cs="Times New Roman"/>
        </w:rPr>
        <w:t xml:space="preserve"> from other sources </w:t>
      </w:r>
      <w:r w:rsidR="00197370">
        <w:rPr>
          <w:rFonts w:ascii="Times New Roman" w:hAnsi="Times New Roman" w:cs="Times New Roman"/>
        </w:rPr>
        <w:t>other</w:t>
      </w:r>
      <w:r w:rsidR="00A73877">
        <w:rPr>
          <w:rFonts w:ascii="Times New Roman" w:hAnsi="Times New Roman" w:cs="Times New Roman"/>
        </w:rPr>
        <w:t xml:space="preserve"> than this solicitation? If so, please describe the funding source and indicate if the funding has been secured. If the funding has not been secured, please describe the plan to secure the necessary funding. </w:t>
      </w:r>
    </w:p>
    <w:p w14:paraId="74FEC1CF" w14:textId="77777777" w:rsidR="005143B4" w:rsidRPr="005143B4" w:rsidRDefault="005143B4" w:rsidP="005143B4">
      <w:pPr>
        <w:pStyle w:val="ListParagraph"/>
        <w:rPr>
          <w:rFonts w:ascii="Times New Roman" w:hAnsi="Times New Roman" w:cs="Times New Roman"/>
          <w:b/>
          <w:bCs/>
        </w:rPr>
      </w:pPr>
    </w:p>
    <w:p w14:paraId="7785BC1D" w14:textId="42A94BBF" w:rsidR="00406C6D" w:rsidRDefault="002C4E74" w:rsidP="0057786A">
      <w:pPr>
        <w:pStyle w:val="BodyText"/>
        <w:ind w:left="720"/>
      </w:pPr>
      <w:r>
        <w:lastRenderedPageBreak/>
        <w:t xml:space="preserve">The applicant will use </w:t>
      </w:r>
      <w:commentRangeStart w:id="4"/>
      <w:r>
        <w:t>UC</w:t>
      </w:r>
      <w:r w:rsidR="00A97B1C">
        <w:t xml:space="preserve"> Cooperative extension </w:t>
      </w:r>
      <w:r w:rsidR="00404E57">
        <w:t xml:space="preserve">funding </w:t>
      </w:r>
      <w:commentRangeEnd w:id="4"/>
      <w:r w:rsidR="006324A2">
        <w:rPr>
          <w:rStyle w:val="CommentReference"/>
          <w:rFonts w:asciiTheme="minorHAnsi" w:eastAsiaTheme="minorHAnsi" w:hAnsiTheme="minorHAnsi" w:cstheme="minorBidi"/>
          <w:b w:val="0"/>
          <w:bCs w:val="0"/>
        </w:rPr>
        <w:commentReference w:id="4"/>
      </w:r>
      <w:r w:rsidR="00404E57">
        <w:t xml:space="preserve">to cost share for part of this project. </w:t>
      </w:r>
      <w:r w:rsidR="00CC2FC5">
        <w:t xml:space="preserve"> </w:t>
      </w:r>
      <w:r w:rsidR="00351712">
        <w:t>Funding has</w:t>
      </w:r>
      <w:r w:rsidR="005C7C3A">
        <w:t xml:space="preserve"> already been secured from NFWF for the SVID Recharge</w:t>
      </w:r>
      <w:r w:rsidR="00620838">
        <w:t xml:space="preserve"> Pilot</w:t>
      </w:r>
      <w:r w:rsidR="005C7C3A">
        <w:t xml:space="preserve"> Project</w:t>
      </w:r>
      <w:r w:rsidR="00406C6D">
        <w:t xml:space="preserve">. </w:t>
      </w:r>
      <w:r w:rsidR="00D32733">
        <w:t>This funding will work in parallel to th</w:t>
      </w:r>
      <w:r w:rsidR="00C96A15">
        <w:t xml:space="preserve">is project for </w:t>
      </w:r>
      <w:r w:rsidR="00ED78AD">
        <w:t xml:space="preserve">recharge implementation, permitting, and expansion of the monitoring network. </w:t>
      </w:r>
    </w:p>
    <w:p w14:paraId="4B2F1193" w14:textId="77777777" w:rsidR="00684E43" w:rsidRPr="00A73877" w:rsidRDefault="00684E43" w:rsidP="00684E43">
      <w:pPr>
        <w:pStyle w:val="ListParagraph"/>
        <w:rPr>
          <w:rFonts w:ascii="Times New Roman" w:hAnsi="Times New Roman" w:cs="Times New Roman"/>
          <w:b/>
          <w:bCs/>
        </w:rPr>
      </w:pPr>
    </w:p>
    <w:p w14:paraId="0B34CDE9" w14:textId="3CF437CD" w:rsidR="00A73877" w:rsidRPr="00684E43" w:rsidRDefault="00197370" w:rsidP="00CD18DA">
      <w:pPr>
        <w:pStyle w:val="ListParagraph"/>
        <w:numPr>
          <w:ilvl w:val="0"/>
          <w:numId w:val="3"/>
        </w:numPr>
        <w:rPr>
          <w:rFonts w:ascii="Times New Roman" w:hAnsi="Times New Roman" w:cs="Times New Roman"/>
          <w:b/>
          <w:bCs/>
        </w:rPr>
      </w:pPr>
      <w:r>
        <w:rPr>
          <w:rFonts w:ascii="Times New Roman" w:hAnsi="Times New Roman" w:cs="Times New Roman"/>
        </w:rPr>
        <w:t xml:space="preserve">Is land acquisition or landowner permission required for this project? If so, please briefly describe the status of the acquisition or agreement with the landowner. If the acquisition is not complete or permission not secured at the time of the application, please describe the plan to complete it. </w:t>
      </w:r>
    </w:p>
    <w:p w14:paraId="216379B6" w14:textId="77777777" w:rsidR="00684E43" w:rsidRPr="00684E43" w:rsidRDefault="00684E43" w:rsidP="00684E43">
      <w:pPr>
        <w:pStyle w:val="ListParagraph"/>
        <w:rPr>
          <w:rFonts w:ascii="Times New Roman" w:hAnsi="Times New Roman" w:cs="Times New Roman"/>
          <w:b/>
          <w:bCs/>
        </w:rPr>
      </w:pPr>
    </w:p>
    <w:p w14:paraId="6E4120DF" w14:textId="418E2401" w:rsidR="00CE3D80" w:rsidRDefault="00287AF9" w:rsidP="00287AF9">
      <w:pPr>
        <w:ind w:left="360"/>
        <w:rPr>
          <w:rFonts w:ascii="Times New Roman" w:hAnsi="Times New Roman" w:cs="Times New Roman"/>
          <w:b/>
          <w:bCs/>
        </w:rPr>
      </w:pPr>
      <w:r>
        <w:rPr>
          <w:rFonts w:ascii="Times New Roman" w:hAnsi="Times New Roman" w:cs="Times New Roman"/>
          <w:b/>
          <w:bCs/>
        </w:rPr>
        <w:t>Landowner permission</w:t>
      </w:r>
      <w:r w:rsidR="00CE3D80">
        <w:rPr>
          <w:rFonts w:ascii="Times New Roman" w:hAnsi="Times New Roman" w:cs="Times New Roman"/>
          <w:b/>
          <w:bCs/>
        </w:rPr>
        <w:t xml:space="preserve"> will be required to complete </w:t>
      </w:r>
      <w:proofErr w:type="gramStart"/>
      <w:r w:rsidR="00CE3D80">
        <w:rPr>
          <w:rFonts w:ascii="Times New Roman" w:hAnsi="Times New Roman" w:cs="Times New Roman"/>
          <w:b/>
          <w:bCs/>
        </w:rPr>
        <w:t>a number of</w:t>
      </w:r>
      <w:proofErr w:type="gramEnd"/>
      <w:r w:rsidR="00CE3D80">
        <w:rPr>
          <w:rFonts w:ascii="Times New Roman" w:hAnsi="Times New Roman" w:cs="Times New Roman"/>
          <w:b/>
          <w:bCs/>
        </w:rPr>
        <w:t xml:space="preserve"> tasks within this project including the field monitoring, </w:t>
      </w:r>
      <w:r w:rsidR="00CA32A9">
        <w:rPr>
          <w:rFonts w:ascii="Times New Roman" w:hAnsi="Times New Roman" w:cs="Times New Roman"/>
          <w:b/>
          <w:bCs/>
        </w:rPr>
        <w:t>isotope sampling</w:t>
      </w:r>
      <w:r w:rsidR="005E0572">
        <w:rPr>
          <w:rFonts w:ascii="Times New Roman" w:hAnsi="Times New Roman" w:cs="Times New Roman"/>
          <w:b/>
          <w:bCs/>
        </w:rPr>
        <w:t xml:space="preserve">, and </w:t>
      </w:r>
      <w:r w:rsidR="00206BDC">
        <w:rPr>
          <w:rFonts w:ascii="Times New Roman" w:hAnsi="Times New Roman" w:cs="Times New Roman"/>
          <w:b/>
          <w:bCs/>
        </w:rPr>
        <w:t xml:space="preserve">implementation of recharge. </w:t>
      </w:r>
      <w:r w:rsidR="00F14A97">
        <w:rPr>
          <w:rFonts w:ascii="Times New Roman" w:hAnsi="Times New Roman" w:cs="Times New Roman"/>
          <w:b/>
          <w:bCs/>
        </w:rPr>
        <w:t>Landowner permission has already been obtained for the SVID Recharge Pilot Pro</w:t>
      </w:r>
      <w:r w:rsidR="00D262F6">
        <w:rPr>
          <w:rFonts w:ascii="Times New Roman" w:hAnsi="Times New Roman" w:cs="Times New Roman"/>
          <w:b/>
          <w:bCs/>
        </w:rPr>
        <w:t>ject. Permission will be obtained for all landowners</w:t>
      </w:r>
      <w:r w:rsidR="00525E77">
        <w:rPr>
          <w:rFonts w:ascii="Times New Roman" w:hAnsi="Times New Roman" w:cs="Times New Roman"/>
          <w:b/>
          <w:bCs/>
        </w:rPr>
        <w:t xml:space="preserve"> for areas targeted for implementation of recharge, and for areas where monitoring is planned to occur. </w:t>
      </w:r>
      <w:r w:rsidR="008E2375">
        <w:rPr>
          <w:rFonts w:ascii="Times New Roman" w:hAnsi="Times New Roman" w:cs="Times New Roman"/>
          <w:b/>
          <w:bCs/>
        </w:rPr>
        <w:t xml:space="preserve">This permission will be acquired following final site identification for monitoring and recharge implementation. </w:t>
      </w:r>
      <w:r w:rsidR="00C54A08">
        <w:rPr>
          <w:rFonts w:ascii="Times New Roman" w:hAnsi="Times New Roman" w:cs="Times New Roman"/>
          <w:b/>
          <w:bCs/>
        </w:rPr>
        <w:t xml:space="preserve">Landowner permission will determine whether a targeted area for recharge or for monitoring will be used. </w:t>
      </w:r>
      <w:r w:rsidR="00B52458">
        <w:rPr>
          <w:rFonts w:ascii="Times New Roman" w:hAnsi="Times New Roman" w:cs="Times New Roman"/>
          <w:b/>
          <w:bCs/>
        </w:rPr>
        <w:t xml:space="preserve">Additionally, stakeholder outreach is an </w:t>
      </w:r>
      <w:r w:rsidR="00384D82">
        <w:rPr>
          <w:rFonts w:ascii="Times New Roman" w:hAnsi="Times New Roman" w:cs="Times New Roman"/>
          <w:b/>
          <w:bCs/>
        </w:rPr>
        <w:t xml:space="preserve">important part of this project and will be conducted throughout </w:t>
      </w:r>
      <w:r w:rsidR="00B12268">
        <w:rPr>
          <w:rFonts w:ascii="Times New Roman" w:hAnsi="Times New Roman" w:cs="Times New Roman"/>
          <w:b/>
          <w:bCs/>
        </w:rPr>
        <w:t xml:space="preserve">project implementation (see </w:t>
      </w:r>
      <w:r w:rsidR="00D5220C">
        <w:rPr>
          <w:rFonts w:ascii="Times New Roman" w:hAnsi="Times New Roman" w:cs="Times New Roman"/>
          <w:b/>
          <w:bCs/>
        </w:rPr>
        <w:t>response to Question #4 for additional detail</w:t>
      </w:r>
      <w:r w:rsidR="00B12268">
        <w:rPr>
          <w:rFonts w:ascii="Times New Roman" w:hAnsi="Times New Roman" w:cs="Times New Roman"/>
          <w:b/>
          <w:bCs/>
        </w:rPr>
        <w:t xml:space="preserve">). </w:t>
      </w:r>
    </w:p>
    <w:p w14:paraId="3EBA40B0" w14:textId="77777777" w:rsidR="00287AF9" w:rsidRPr="00B132FD" w:rsidRDefault="00287AF9" w:rsidP="00B132FD">
      <w:pPr>
        <w:rPr>
          <w:rFonts w:ascii="Times New Roman" w:hAnsi="Times New Roman" w:cs="Times New Roman"/>
          <w:b/>
          <w:bCs/>
        </w:rPr>
      </w:pPr>
    </w:p>
    <w:p w14:paraId="38FF0CBB" w14:textId="19F3D6F9" w:rsidR="00032EF8" w:rsidRPr="002A3051" w:rsidRDefault="00032EF8" w:rsidP="00CD18DA">
      <w:pPr>
        <w:pStyle w:val="ListParagraph"/>
        <w:numPr>
          <w:ilvl w:val="0"/>
          <w:numId w:val="3"/>
        </w:numPr>
        <w:rPr>
          <w:rFonts w:ascii="Times New Roman" w:hAnsi="Times New Roman" w:cs="Times New Roman"/>
          <w:b/>
          <w:bCs/>
        </w:rPr>
      </w:pPr>
      <w:r>
        <w:rPr>
          <w:rFonts w:ascii="Times New Roman" w:hAnsi="Times New Roman" w:cs="Times New Roman"/>
        </w:rPr>
        <w:t xml:space="preserve">Has planning and design for this project been completed? If not, please describe the status of planning and design. </w:t>
      </w:r>
    </w:p>
    <w:p w14:paraId="466C1E61" w14:textId="77777777" w:rsidR="00B52635" w:rsidRDefault="00B52635" w:rsidP="00F10059">
      <w:pPr>
        <w:ind w:left="360"/>
        <w:rPr>
          <w:rFonts w:ascii="Times New Roman" w:hAnsi="Times New Roman" w:cs="Times New Roman"/>
          <w:b/>
          <w:bCs/>
        </w:rPr>
      </w:pPr>
    </w:p>
    <w:p w14:paraId="34F15ED7" w14:textId="23A49E1C" w:rsidR="000F2AA1" w:rsidRPr="002A3051" w:rsidRDefault="00A006FE" w:rsidP="00562AE4">
      <w:pPr>
        <w:ind w:left="360"/>
        <w:rPr>
          <w:rFonts w:ascii="Times New Roman" w:hAnsi="Times New Roman" w:cs="Times New Roman"/>
          <w:b/>
          <w:bCs/>
        </w:rPr>
      </w:pPr>
      <w:r>
        <w:rPr>
          <w:rFonts w:ascii="Times New Roman" w:hAnsi="Times New Roman" w:cs="Times New Roman"/>
          <w:b/>
          <w:bCs/>
        </w:rPr>
        <w:t xml:space="preserve">Planning and design for this project </w:t>
      </w:r>
      <w:r w:rsidR="00032B5D">
        <w:rPr>
          <w:rFonts w:ascii="Times New Roman" w:hAnsi="Times New Roman" w:cs="Times New Roman"/>
          <w:b/>
          <w:bCs/>
        </w:rPr>
        <w:t>has not been completed</w:t>
      </w:r>
      <w:r>
        <w:rPr>
          <w:rFonts w:ascii="Times New Roman" w:hAnsi="Times New Roman" w:cs="Times New Roman"/>
          <w:b/>
          <w:bCs/>
        </w:rPr>
        <w:t xml:space="preserve">. </w:t>
      </w:r>
      <w:r w:rsidR="009A7D01">
        <w:rPr>
          <w:rFonts w:ascii="Times New Roman" w:hAnsi="Times New Roman" w:cs="Times New Roman"/>
          <w:b/>
          <w:bCs/>
        </w:rPr>
        <w:t xml:space="preserve">While the SVID Recharge Pilot Project is underway, </w:t>
      </w:r>
      <w:r w:rsidR="0061037C">
        <w:rPr>
          <w:rFonts w:ascii="Times New Roman" w:hAnsi="Times New Roman" w:cs="Times New Roman"/>
          <w:b/>
          <w:bCs/>
        </w:rPr>
        <w:t>a</w:t>
      </w:r>
      <w:r w:rsidR="00F8728A">
        <w:rPr>
          <w:rFonts w:ascii="Times New Roman" w:hAnsi="Times New Roman" w:cs="Times New Roman"/>
          <w:b/>
          <w:bCs/>
        </w:rPr>
        <w:t xml:space="preserve">dditional planning is required for </w:t>
      </w:r>
      <w:r w:rsidR="00D86F54">
        <w:rPr>
          <w:rFonts w:ascii="Times New Roman" w:hAnsi="Times New Roman" w:cs="Times New Roman"/>
          <w:b/>
          <w:bCs/>
        </w:rPr>
        <w:t xml:space="preserve">expanded recharge implementation and </w:t>
      </w:r>
      <w:r w:rsidR="00B069E0">
        <w:rPr>
          <w:rFonts w:ascii="Times New Roman" w:hAnsi="Times New Roman" w:cs="Times New Roman"/>
          <w:b/>
          <w:bCs/>
        </w:rPr>
        <w:t xml:space="preserve">associated monitoring. </w:t>
      </w:r>
      <w:r w:rsidR="00BF131B">
        <w:rPr>
          <w:rFonts w:ascii="Times New Roman" w:hAnsi="Times New Roman" w:cs="Times New Roman"/>
          <w:b/>
          <w:bCs/>
        </w:rPr>
        <w:t xml:space="preserve">Preliminary </w:t>
      </w:r>
      <w:r w:rsidR="001A6D1C">
        <w:rPr>
          <w:rFonts w:ascii="Times New Roman" w:hAnsi="Times New Roman" w:cs="Times New Roman"/>
          <w:b/>
          <w:bCs/>
        </w:rPr>
        <w:t>planning</w:t>
      </w:r>
      <w:r w:rsidR="00BF131B">
        <w:rPr>
          <w:rFonts w:ascii="Times New Roman" w:hAnsi="Times New Roman" w:cs="Times New Roman"/>
          <w:b/>
          <w:bCs/>
        </w:rPr>
        <w:t xml:space="preserve">, including </w:t>
      </w:r>
      <w:r w:rsidR="00E64453">
        <w:rPr>
          <w:rFonts w:ascii="Times New Roman" w:hAnsi="Times New Roman" w:cs="Times New Roman"/>
          <w:b/>
          <w:bCs/>
        </w:rPr>
        <w:t>selection fo</w:t>
      </w:r>
      <w:r w:rsidR="00B52E3D">
        <w:rPr>
          <w:rFonts w:ascii="Times New Roman" w:hAnsi="Times New Roman" w:cs="Times New Roman"/>
          <w:b/>
          <w:bCs/>
        </w:rPr>
        <w:t>r</w:t>
      </w:r>
      <w:r w:rsidR="00E64453">
        <w:rPr>
          <w:rFonts w:ascii="Times New Roman" w:hAnsi="Times New Roman" w:cs="Times New Roman"/>
          <w:b/>
          <w:bCs/>
        </w:rPr>
        <w:t xml:space="preserve"> a total of </w:t>
      </w:r>
      <w:r w:rsidR="00B52E3D">
        <w:rPr>
          <w:rFonts w:ascii="Times New Roman" w:hAnsi="Times New Roman" w:cs="Times New Roman"/>
          <w:b/>
          <w:bCs/>
        </w:rPr>
        <w:t>four</w:t>
      </w:r>
      <w:r w:rsidR="00E64453">
        <w:rPr>
          <w:rFonts w:ascii="Times New Roman" w:hAnsi="Times New Roman" w:cs="Times New Roman"/>
          <w:b/>
          <w:bCs/>
        </w:rPr>
        <w:t xml:space="preserve"> sites for groundwater recharge, has been completed but </w:t>
      </w:r>
      <w:r w:rsidR="00A03578">
        <w:rPr>
          <w:rFonts w:ascii="Times New Roman" w:hAnsi="Times New Roman" w:cs="Times New Roman"/>
          <w:b/>
          <w:bCs/>
        </w:rPr>
        <w:t xml:space="preserve">a formalized, comprehensive </w:t>
      </w:r>
      <w:r w:rsidR="001A6D1C">
        <w:rPr>
          <w:rFonts w:ascii="Times New Roman" w:hAnsi="Times New Roman" w:cs="Times New Roman"/>
          <w:b/>
          <w:bCs/>
        </w:rPr>
        <w:t>groundwater</w:t>
      </w:r>
      <w:r w:rsidR="00EA7965">
        <w:rPr>
          <w:rFonts w:ascii="Times New Roman" w:hAnsi="Times New Roman" w:cs="Times New Roman"/>
          <w:b/>
          <w:bCs/>
        </w:rPr>
        <w:t xml:space="preserve"> recharge plan is still required. Additionally, a</w:t>
      </w:r>
      <w:r w:rsidR="00CD5149">
        <w:rPr>
          <w:rFonts w:ascii="Times New Roman" w:hAnsi="Times New Roman" w:cs="Times New Roman"/>
          <w:b/>
          <w:bCs/>
        </w:rPr>
        <w:t xml:space="preserve"> monitoring plan </w:t>
      </w:r>
      <w:r w:rsidR="00CC4222">
        <w:rPr>
          <w:rFonts w:ascii="Times New Roman" w:hAnsi="Times New Roman" w:cs="Times New Roman"/>
          <w:b/>
          <w:bCs/>
        </w:rPr>
        <w:t>is needed</w:t>
      </w:r>
      <w:r w:rsidR="0059018D">
        <w:rPr>
          <w:rFonts w:ascii="Times New Roman" w:hAnsi="Times New Roman" w:cs="Times New Roman"/>
          <w:b/>
          <w:bCs/>
        </w:rPr>
        <w:t>, both for expanded monitoring for the SVID Recharge Pilot Project, and for any expanded recharge operations.</w:t>
      </w:r>
      <w:r w:rsidR="006E5470">
        <w:rPr>
          <w:rFonts w:ascii="Times New Roman" w:hAnsi="Times New Roman" w:cs="Times New Roman"/>
          <w:b/>
          <w:bCs/>
        </w:rPr>
        <w:t xml:space="preserve"> Work towards final planning and design is </w:t>
      </w:r>
      <w:r w:rsidR="008A712E">
        <w:rPr>
          <w:rFonts w:ascii="Times New Roman" w:hAnsi="Times New Roman" w:cs="Times New Roman"/>
          <w:b/>
          <w:bCs/>
        </w:rPr>
        <w:t>discussed in response to</w:t>
      </w:r>
      <w:r w:rsidR="006E5470">
        <w:rPr>
          <w:rFonts w:ascii="Times New Roman" w:hAnsi="Times New Roman" w:cs="Times New Roman"/>
          <w:b/>
          <w:bCs/>
        </w:rPr>
        <w:t xml:space="preserve"> </w:t>
      </w:r>
      <w:r w:rsidR="008A712E">
        <w:rPr>
          <w:rFonts w:ascii="Times New Roman" w:hAnsi="Times New Roman" w:cs="Times New Roman"/>
          <w:b/>
          <w:bCs/>
        </w:rPr>
        <w:t xml:space="preserve">Question #4. </w:t>
      </w:r>
      <w:r w:rsidR="00591E3D">
        <w:rPr>
          <w:rFonts w:ascii="Times New Roman" w:hAnsi="Times New Roman" w:cs="Times New Roman"/>
          <w:b/>
          <w:bCs/>
        </w:rPr>
        <w:t xml:space="preserve"> </w:t>
      </w:r>
    </w:p>
    <w:p w14:paraId="4CD69212" w14:textId="77777777" w:rsidR="00746D3D" w:rsidRPr="00032EF8" w:rsidRDefault="00746D3D" w:rsidP="00746D3D">
      <w:pPr>
        <w:pStyle w:val="ListParagraph"/>
        <w:rPr>
          <w:rFonts w:ascii="Times New Roman" w:hAnsi="Times New Roman" w:cs="Times New Roman"/>
          <w:b/>
          <w:bCs/>
        </w:rPr>
      </w:pPr>
    </w:p>
    <w:p w14:paraId="5E7082EF" w14:textId="01BE7CD8" w:rsidR="00032EF8" w:rsidRPr="00302553" w:rsidRDefault="00032EF8" w:rsidP="00CD18DA">
      <w:pPr>
        <w:pStyle w:val="ListParagraph"/>
        <w:numPr>
          <w:ilvl w:val="0"/>
          <w:numId w:val="3"/>
        </w:numPr>
        <w:rPr>
          <w:rFonts w:ascii="Times New Roman" w:hAnsi="Times New Roman" w:cs="Times New Roman"/>
          <w:b/>
          <w:bCs/>
        </w:rPr>
      </w:pPr>
      <w:r>
        <w:rPr>
          <w:rFonts w:ascii="Times New Roman" w:hAnsi="Times New Roman" w:cs="Times New Roman"/>
        </w:rPr>
        <w:t xml:space="preserve">Are the CEQA (and NEPA if applicable) and permitting processes for this project complete? If not, please briefly describe the permits and </w:t>
      </w:r>
      <w:r w:rsidR="00872732">
        <w:rPr>
          <w:rFonts w:ascii="Times New Roman" w:hAnsi="Times New Roman" w:cs="Times New Roman"/>
        </w:rPr>
        <w:t>CEQA (</w:t>
      </w:r>
      <w:r>
        <w:rPr>
          <w:rFonts w:ascii="Times New Roman" w:hAnsi="Times New Roman" w:cs="Times New Roman"/>
        </w:rPr>
        <w:t xml:space="preserve">or NEPA) documents to be completed and projected schedule for completion. </w:t>
      </w:r>
    </w:p>
    <w:p w14:paraId="2F1A9FA0" w14:textId="77777777" w:rsidR="00302553" w:rsidRPr="00302553" w:rsidRDefault="00302553" w:rsidP="00302553">
      <w:pPr>
        <w:pStyle w:val="ListParagraph"/>
        <w:rPr>
          <w:rFonts w:ascii="Times New Roman" w:hAnsi="Times New Roman" w:cs="Times New Roman"/>
          <w:b/>
          <w:bCs/>
        </w:rPr>
      </w:pPr>
    </w:p>
    <w:p w14:paraId="7B79FD90" w14:textId="3CFC3C03" w:rsidR="00857F39" w:rsidRDefault="00734765" w:rsidP="00BF093D">
      <w:pPr>
        <w:pStyle w:val="BodyText"/>
        <w:ind w:left="720"/>
      </w:pPr>
      <w:r>
        <w:t xml:space="preserve">The CEQA permitting process has not been completed for the Project. </w:t>
      </w:r>
      <w:r w:rsidR="00002D07">
        <w:t>T</w:t>
      </w:r>
      <w:r w:rsidR="00981A77">
        <w:t>his</w:t>
      </w:r>
      <w:r w:rsidR="00002D07">
        <w:t xml:space="preserve"> process is anticipated to be a requirement in </w:t>
      </w:r>
      <w:r w:rsidR="006C62A5">
        <w:t xml:space="preserve">obtaining a permanent permit for groundwater recharge from the State Water Board and will be carried out throughout the </w:t>
      </w:r>
      <w:r w:rsidR="00712B84">
        <w:t xml:space="preserve">entirety of the </w:t>
      </w:r>
      <w:r w:rsidR="006C62A5">
        <w:t>project implementation period.</w:t>
      </w:r>
      <w:r w:rsidR="00A3752C">
        <w:t xml:space="preserve"> It is recognized that the CEQA </w:t>
      </w:r>
      <w:r w:rsidR="00C025DA">
        <w:t xml:space="preserve">permitting </w:t>
      </w:r>
      <w:r w:rsidR="00A3752C">
        <w:t>process is a significant effort and</w:t>
      </w:r>
      <w:r w:rsidR="00E22450">
        <w:t xml:space="preserve"> this is reflected in the budget and schedule, which has been allocated for this task up until the </w:t>
      </w:r>
      <w:r w:rsidR="00BF093D">
        <w:t xml:space="preserve">end of this project schedule in March 2026.  </w:t>
      </w:r>
    </w:p>
    <w:p w14:paraId="23986CC5" w14:textId="77777777" w:rsidR="00746D3D" w:rsidRPr="00032EF8" w:rsidRDefault="00746D3D" w:rsidP="00746D3D">
      <w:pPr>
        <w:pStyle w:val="ListParagraph"/>
        <w:rPr>
          <w:rFonts w:ascii="Times New Roman" w:hAnsi="Times New Roman" w:cs="Times New Roman"/>
          <w:b/>
          <w:bCs/>
        </w:rPr>
      </w:pPr>
    </w:p>
    <w:p w14:paraId="599759C9" w14:textId="250D7BC0" w:rsidR="00032EF8" w:rsidRPr="00D15C7E" w:rsidRDefault="00032EF8" w:rsidP="00CD18DA">
      <w:pPr>
        <w:pStyle w:val="ListParagraph"/>
        <w:numPr>
          <w:ilvl w:val="0"/>
          <w:numId w:val="3"/>
        </w:numPr>
        <w:rPr>
          <w:rFonts w:ascii="Times New Roman" w:hAnsi="Times New Roman" w:cs="Times New Roman"/>
          <w:b/>
          <w:bCs/>
        </w:rPr>
      </w:pPr>
      <w:r>
        <w:rPr>
          <w:rFonts w:ascii="Times New Roman" w:hAnsi="Times New Roman" w:cs="Times New Roman"/>
        </w:rPr>
        <w:t xml:space="preserve">Please briefly describe the necessary construction/ implementation for this project. </w:t>
      </w:r>
    </w:p>
    <w:p w14:paraId="11514201" w14:textId="02DD4B91" w:rsidR="00D15C7E" w:rsidRDefault="00D15C7E" w:rsidP="00D15C7E">
      <w:pPr>
        <w:pStyle w:val="ListParagraph"/>
        <w:rPr>
          <w:rFonts w:ascii="Times New Roman" w:hAnsi="Times New Roman" w:cs="Times New Roman"/>
          <w:b/>
          <w:bCs/>
        </w:rPr>
      </w:pPr>
    </w:p>
    <w:p w14:paraId="2AA70DF5" w14:textId="4ED425F9" w:rsidR="00C615CA" w:rsidRDefault="00816456" w:rsidP="00816456">
      <w:pPr>
        <w:pStyle w:val="BodyText"/>
        <w:ind w:left="720"/>
      </w:pPr>
      <w:r>
        <w:t xml:space="preserve">Necessary construction for this project includes installation of </w:t>
      </w:r>
      <w:r w:rsidR="00CF4D46">
        <w:t xml:space="preserve">additional monitoring equipment </w:t>
      </w:r>
      <w:r w:rsidR="001E2E96">
        <w:t>for the</w:t>
      </w:r>
      <w:r w:rsidR="00CF4D46">
        <w:t xml:space="preserve"> SVID Recharge</w:t>
      </w:r>
      <w:r w:rsidR="001E2E96">
        <w:t xml:space="preserve"> </w:t>
      </w:r>
      <w:r w:rsidR="00B81925">
        <w:t>Pilot</w:t>
      </w:r>
      <w:r w:rsidR="00CF4D46">
        <w:t xml:space="preserve"> Project and any expanded groundwater recharge projects, as described in response to Question </w:t>
      </w:r>
      <w:r w:rsidR="00883578">
        <w:t xml:space="preserve">#1. </w:t>
      </w:r>
      <w:r w:rsidR="00260348">
        <w:t xml:space="preserve">Implementation of this project </w:t>
      </w:r>
      <w:r w:rsidR="007A6EF2">
        <w:t>i</w:t>
      </w:r>
      <w:r w:rsidR="003729D9">
        <w:t xml:space="preserve">ncludes project administration and permitting, </w:t>
      </w:r>
      <w:r w:rsidR="00A80AD7">
        <w:t xml:space="preserve">monitoring, monitoring infrastructure </w:t>
      </w:r>
      <w:r w:rsidR="00637E87">
        <w:t xml:space="preserve">implementation, </w:t>
      </w:r>
      <w:r w:rsidR="007D1DF8">
        <w:t xml:space="preserve">and </w:t>
      </w:r>
      <w:r w:rsidR="009074A5">
        <w:t xml:space="preserve">data compilation and analysis. </w:t>
      </w:r>
      <w:r w:rsidR="008519EA">
        <w:t xml:space="preserve">Additional detail on tasks under this project can be found in response to </w:t>
      </w:r>
      <w:r w:rsidR="005B6974">
        <w:t>Question</w:t>
      </w:r>
      <w:r w:rsidR="008519EA">
        <w:t xml:space="preserve"> #1. </w:t>
      </w:r>
    </w:p>
    <w:p w14:paraId="4E19DA37" w14:textId="77777777" w:rsidR="00816456" w:rsidRPr="00E352B2" w:rsidRDefault="00816456" w:rsidP="00B25325">
      <w:pPr>
        <w:pStyle w:val="ListParagraph"/>
        <w:rPr>
          <w:rFonts w:ascii="Times New Roman" w:hAnsi="Times New Roman" w:cs="Times New Roman"/>
        </w:rPr>
      </w:pPr>
    </w:p>
    <w:p w14:paraId="39C9E4BB" w14:textId="77777777" w:rsidR="00B25325" w:rsidRPr="00B25325" w:rsidRDefault="00B25325" w:rsidP="00B25325">
      <w:pPr>
        <w:pStyle w:val="ListParagraph"/>
        <w:rPr>
          <w:rFonts w:ascii="Times New Roman" w:hAnsi="Times New Roman" w:cs="Times New Roman"/>
          <w:b/>
          <w:bCs/>
        </w:rPr>
      </w:pPr>
    </w:p>
    <w:p w14:paraId="4F11B9CA" w14:textId="48251C68" w:rsidR="00032EF8" w:rsidRPr="00896728" w:rsidRDefault="00032EF8" w:rsidP="00CD18DA">
      <w:pPr>
        <w:pStyle w:val="ListParagraph"/>
        <w:numPr>
          <w:ilvl w:val="0"/>
          <w:numId w:val="3"/>
        </w:numPr>
        <w:rPr>
          <w:rFonts w:ascii="Times New Roman" w:hAnsi="Times New Roman" w:cs="Times New Roman"/>
          <w:b/>
          <w:bCs/>
        </w:rPr>
      </w:pPr>
      <w:r>
        <w:rPr>
          <w:rFonts w:ascii="Times New Roman" w:hAnsi="Times New Roman" w:cs="Times New Roman"/>
        </w:rPr>
        <w:t xml:space="preserve">Please complete the schedule below for the project. Projects must be complete by March 31, 2026, to allow time for final invoice processing and retention payment before State funds expire on June 30, 2026. Project administration should end at least three months after construction. </w:t>
      </w:r>
    </w:p>
    <w:p w14:paraId="1BB39515" w14:textId="77777777" w:rsidR="00896728" w:rsidRPr="00726F22" w:rsidRDefault="00896728" w:rsidP="00726F22">
      <w:pPr>
        <w:rPr>
          <w:rFonts w:ascii="Times New Roman" w:hAnsi="Times New Roman" w:cs="Times New Roman"/>
          <w:b/>
          <w:bCs/>
        </w:rPr>
      </w:pPr>
    </w:p>
    <w:p w14:paraId="52BF9B3F" w14:textId="77777777" w:rsidR="00896728" w:rsidRPr="00CD18DA" w:rsidRDefault="00896728" w:rsidP="00DC7958">
      <w:pPr>
        <w:pStyle w:val="ListParagraph"/>
        <w:rPr>
          <w:rFonts w:ascii="Times New Roman" w:hAnsi="Times New Roman" w:cs="Times New Roman"/>
          <w:b/>
          <w:bCs/>
        </w:rPr>
      </w:pPr>
    </w:p>
    <w:tbl>
      <w:tblPr>
        <w:tblStyle w:val="TableGrid"/>
        <w:tblW w:w="0" w:type="auto"/>
        <w:tblInd w:w="720" w:type="dxa"/>
        <w:tblLook w:val="04A0" w:firstRow="1" w:lastRow="0" w:firstColumn="1" w:lastColumn="0" w:noHBand="0" w:noVBand="1"/>
      </w:tblPr>
      <w:tblGrid>
        <w:gridCol w:w="895"/>
        <w:gridCol w:w="4410"/>
        <w:gridCol w:w="1620"/>
        <w:gridCol w:w="1705"/>
      </w:tblGrid>
      <w:tr w:rsidR="00E647C7" w14:paraId="4CF58AAD" w14:textId="77777777" w:rsidTr="0094484D">
        <w:tc>
          <w:tcPr>
            <w:tcW w:w="895" w:type="dxa"/>
          </w:tcPr>
          <w:p w14:paraId="15C5982C" w14:textId="77777777" w:rsidR="00C75502" w:rsidRPr="00E647C7" w:rsidRDefault="00C75502" w:rsidP="002F1E21">
            <w:pPr>
              <w:pStyle w:val="ListParagraph"/>
              <w:ind w:left="0"/>
              <w:rPr>
                <w:rFonts w:ascii="Times New Roman" w:hAnsi="Times New Roman" w:cs="Times New Roman"/>
              </w:rPr>
            </w:pPr>
          </w:p>
        </w:tc>
        <w:tc>
          <w:tcPr>
            <w:tcW w:w="4410" w:type="dxa"/>
          </w:tcPr>
          <w:p w14:paraId="586B82A2" w14:textId="1139D816" w:rsidR="00C75502" w:rsidRDefault="00C75502" w:rsidP="002F1E21">
            <w:pPr>
              <w:pStyle w:val="ListParagraph"/>
              <w:ind w:left="0"/>
              <w:rPr>
                <w:rFonts w:ascii="Times New Roman" w:hAnsi="Times New Roman" w:cs="Times New Roman"/>
                <w:b/>
                <w:bCs/>
              </w:rPr>
            </w:pPr>
            <w:r>
              <w:rPr>
                <w:rFonts w:ascii="Times New Roman" w:hAnsi="Times New Roman" w:cs="Times New Roman"/>
                <w:b/>
                <w:bCs/>
              </w:rPr>
              <w:t>Categories</w:t>
            </w:r>
          </w:p>
        </w:tc>
        <w:tc>
          <w:tcPr>
            <w:tcW w:w="1620" w:type="dxa"/>
          </w:tcPr>
          <w:p w14:paraId="2F7F78F7" w14:textId="72B309E8" w:rsidR="00C75502" w:rsidRDefault="00C75502" w:rsidP="002F1E21">
            <w:pPr>
              <w:pStyle w:val="ListParagraph"/>
              <w:ind w:left="0"/>
              <w:rPr>
                <w:rFonts w:ascii="Times New Roman" w:hAnsi="Times New Roman" w:cs="Times New Roman"/>
                <w:b/>
                <w:bCs/>
              </w:rPr>
            </w:pPr>
            <w:r>
              <w:rPr>
                <w:rFonts w:ascii="Times New Roman" w:hAnsi="Times New Roman" w:cs="Times New Roman"/>
                <w:b/>
                <w:bCs/>
              </w:rPr>
              <w:t>Start Date</w:t>
            </w:r>
          </w:p>
        </w:tc>
        <w:tc>
          <w:tcPr>
            <w:tcW w:w="1705" w:type="dxa"/>
          </w:tcPr>
          <w:p w14:paraId="485055BA" w14:textId="55B5DFFC" w:rsidR="00C75502" w:rsidRDefault="00C75502" w:rsidP="002F1E21">
            <w:pPr>
              <w:pStyle w:val="ListParagraph"/>
              <w:ind w:left="0"/>
              <w:rPr>
                <w:rFonts w:ascii="Times New Roman" w:hAnsi="Times New Roman" w:cs="Times New Roman"/>
                <w:b/>
                <w:bCs/>
              </w:rPr>
            </w:pPr>
            <w:r>
              <w:rPr>
                <w:rFonts w:ascii="Times New Roman" w:hAnsi="Times New Roman" w:cs="Times New Roman"/>
                <w:b/>
                <w:bCs/>
              </w:rPr>
              <w:t>End Date</w:t>
            </w:r>
          </w:p>
        </w:tc>
      </w:tr>
      <w:tr w:rsidR="00E647C7" w14:paraId="360E9A28" w14:textId="77777777" w:rsidTr="0094484D">
        <w:tc>
          <w:tcPr>
            <w:tcW w:w="895" w:type="dxa"/>
            <w:vAlign w:val="center"/>
          </w:tcPr>
          <w:p w14:paraId="02D5DAFB" w14:textId="195D8E84" w:rsidR="00C75502" w:rsidRPr="00E647C7" w:rsidRDefault="00C75502" w:rsidP="00E647C7">
            <w:pPr>
              <w:pStyle w:val="ListParagraph"/>
              <w:numPr>
                <w:ilvl w:val="0"/>
                <w:numId w:val="4"/>
              </w:numPr>
              <w:rPr>
                <w:rFonts w:ascii="Times New Roman" w:hAnsi="Times New Roman" w:cs="Times New Roman"/>
              </w:rPr>
            </w:pPr>
          </w:p>
        </w:tc>
        <w:tc>
          <w:tcPr>
            <w:tcW w:w="4410" w:type="dxa"/>
          </w:tcPr>
          <w:p w14:paraId="613E7146" w14:textId="313B0403" w:rsidR="00C75502" w:rsidRPr="004C6B7A" w:rsidRDefault="00C75502" w:rsidP="002F1E21">
            <w:pPr>
              <w:pStyle w:val="ListParagraph"/>
              <w:ind w:left="0"/>
              <w:rPr>
                <w:rFonts w:ascii="Times New Roman" w:hAnsi="Times New Roman" w:cs="Times New Roman"/>
              </w:rPr>
            </w:pPr>
            <w:r w:rsidRPr="004C6B7A">
              <w:rPr>
                <w:rFonts w:ascii="Times New Roman" w:hAnsi="Times New Roman" w:cs="Times New Roman"/>
              </w:rPr>
              <w:t>Project Administration</w:t>
            </w:r>
          </w:p>
        </w:tc>
        <w:tc>
          <w:tcPr>
            <w:tcW w:w="1620" w:type="dxa"/>
          </w:tcPr>
          <w:p w14:paraId="338C7D13" w14:textId="5066B077" w:rsidR="00C75502" w:rsidRPr="00035073" w:rsidRDefault="00E647C7" w:rsidP="002F1E21">
            <w:pPr>
              <w:pStyle w:val="ListParagraph"/>
              <w:ind w:left="0"/>
              <w:rPr>
                <w:rFonts w:ascii="Times New Roman" w:hAnsi="Times New Roman" w:cs="Times New Roman"/>
              </w:rPr>
            </w:pPr>
            <w:r w:rsidRPr="00035073">
              <w:rPr>
                <w:rFonts w:ascii="Times New Roman" w:hAnsi="Times New Roman" w:cs="Times New Roman"/>
              </w:rPr>
              <w:t>6/30/2022</w:t>
            </w:r>
          </w:p>
        </w:tc>
        <w:tc>
          <w:tcPr>
            <w:tcW w:w="1705" w:type="dxa"/>
          </w:tcPr>
          <w:p w14:paraId="2FA708F0" w14:textId="0E8CE970" w:rsidR="00C75502" w:rsidRPr="00035073" w:rsidRDefault="00510A55" w:rsidP="002F1E21">
            <w:pPr>
              <w:pStyle w:val="ListParagraph"/>
              <w:ind w:left="0"/>
              <w:rPr>
                <w:rFonts w:ascii="Times New Roman" w:hAnsi="Times New Roman" w:cs="Times New Roman"/>
              </w:rPr>
            </w:pPr>
            <w:r>
              <w:rPr>
                <w:rFonts w:ascii="Times New Roman" w:hAnsi="Times New Roman" w:cs="Times New Roman"/>
              </w:rPr>
              <w:t>3</w:t>
            </w:r>
            <w:r w:rsidR="00E647C7" w:rsidRPr="00035073">
              <w:rPr>
                <w:rFonts w:ascii="Times New Roman" w:hAnsi="Times New Roman" w:cs="Times New Roman"/>
              </w:rPr>
              <w:t>/</w:t>
            </w:r>
            <w:r>
              <w:rPr>
                <w:rFonts w:ascii="Times New Roman" w:hAnsi="Times New Roman" w:cs="Times New Roman"/>
              </w:rPr>
              <w:t>3</w:t>
            </w:r>
            <w:r w:rsidR="00E647C7" w:rsidRPr="00035073">
              <w:rPr>
                <w:rFonts w:ascii="Times New Roman" w:hAnsi="Times New Roman" w:cs="Times New Roman"/>
              </w:rPr>
              <w:t>1/202</w:t>
            </w:r>
            <w:r>
              <w:rPr>
                <w:rFonts w:ascii="Times New Roman" w:hAnsi="Times New Roman" w:cs="Times New Roman"/>
              </w:rPr>
              <w:t>6</w:t>
            </w:r>
          </w:p>
        </w:tc>
      </w:tr>
      <w:tr w:rsidR="00C75502" w14:paraId="5C525B0C" w14:textId="77777777" w:rsidTr="0094484D">
        <w:tc>
          <w:tcPr>
            <w:tcW w:w="895" w:type="dxa"/>
            <w:vAlign w:val="center"/>
          </w:tcPr>
          <w:p w14:paraId="3D2B9B3A" w14:textId="77777777" w:rsidR="00C75502" w:rsidRPr="00E647C7" w:rsidRDefault="00C75502" w:rsidP="00E647C7">
            <w:pPr>
              <w:pStyle w:val="ListParagraph"/>
              <w:numPr>
                <w:ilvl w:val="0"/>
                <w:numId w:val="4"/>
              </w:numPr>
              <w:rPr>
                <w:rFonts w:ascii="Times New Roman" w:hAnsi="Times New Roman" w:cs="Times New Roman"/>
              </w:rPr>
            </w:pPr>
          </w:p>
        </w:tc>
        <w:tc>
          <w:tcPr>
            <w:tcW w:w="4410" w:type="dxa"/>
          </w:tcPr>
          <w:p w14:paraId="4CEEE200" w14:textId="117D462C" w:rsidR="00C75502" w:rsidRPr="004C6B7A" w:rsidRDefault="00C75502" w:rsidP="002F1E21">
            <w:pPr>
              <w:pStyle w:val="ListParagraph"/>
              <w:ind w:left="0"/>
              <w:rPr>
                <w:rFonts w:ascii="Times New Roman" w:hAnsi="Times New Roman" w:cs="Times New Roman"/>
              </w:rPr>
            </w:pPr>
            <w:r w:rsidRPr="004C6B7A">
              <w:rPr>
                <w:rFonts w:ascii="Times New Roman" w:hAnsi="Times New Roman" w:cs="Times New Roman"/>
              </w:rPr>
              <w:t>Land Purchase/Easement</w:t>
            </w:r>
          </w:p>
        </w:tc>
        <w:tc>
          <w:tcPr>
            <w:tcW w:w="1620" w:type="dxa"/>
          </w:tcPr>
          <w:p w14:paraId="0361035A" w14:textId="0D8E7EB6" w:rsidR="00C75502" w:rsidRPr="00E352B2" w:rsidRDefault="00035073" w:rsidP="002F1E21">
            <w:pPr>
              <w:pStyle w:val="ListParagraph"/>
              <w:ind w:left="0"/>
              <w:rPr>
                <w:rFonts w:ascii="Times New Roman" w:hAnsi="Times New Roman" w:cs="Times New Roman"/>
              </w:rPr>
            </w:pPr>
            <w:r w:rsidRPr="00E352B2">
              <w:rPr>
                <w:rFonts w:ascii="Times New Roman" w:hAnsi="Times New Roman" w:cs="Times New Roman"/>
              </w:rPr>
              <w:t>N/A</w:t>
            </w:r>
          </w:p>
        </w:tc>
        <w:tc>
          <w:tcPr>
            <w:tcW w:w="1705" w:type="dxa"/>
          </w:tcPr>
          <w:p w14:paraId="3BCA5602" w14:textId="57A5A8B5" w:rsidR="00C75502" w:rsidRPr="00E352B2" w:rsidRDefault="00035073" w:rsidP="002F1E21">
            <w:pPr>
              <w:pStyle w:val="ListParagraph"/>
              <w:ind w:left="0"/>
              <w:rPr>
                <w:rFonts w:ascii="Times New Roman" w:hAnsi="Times New Roman" w:cs="Times New Roman"/>
              </w:rPr>
            </w:pPr>
            <w:r w:rsidRPr="00E352B2">
              <w:rPr>
                <w:rFonts w:ascii="Times New Roman" w:hAnsi="Times New Roman" w:cs="Times New Roman"/>
              </w:rPr>
              <w:t>N/A</w:t>
            </w:r>
          </w:p>
        </w:tc>
      </w:tr>
      <w:tr w:rsidR="0094484D" w14:paraId="38CC58F5" w14:textId="77777777" w:rsidTr="0094484D">
        <w:tc>
          <w:tcPr>
            <w:tcW w:w="895" w:type="dxa"/>
            <w:vAlign w:val="center"/>
          </w:tcPr>
          <w:p w14:paraId="356D1E95" w14:textId="77777777" w:rsidR="0094484D" w:rsidRPr="00E647C7" w:rsidRDefault="0094484D" w:rsidP="0094484D">
            <w:pPr>
              <w:pStyle w:val="ListParagraph"/>
              <w:numPr>
                <w:ilvl w:val="0"/>
                <w:numId w:val="4"/>
              </w:numPr>
              <w:rPr>
                <w:rFonts w:ascii="Times New Roman" w:hAnsi="Times New Roman" w:cs="Times New Roman"/>
              </w:rPr>
            </w:pPr>
          </w:p>
        </w:tc>
        <w:tc>
          <w:tcPr>
            <w:tcW w:w="4410" w:type="dxa"/>
          </w:tcPr>
          <w:p w14:paraId="363B1192" w14:textId="32C9A739" w:rsidR="0094484D" w:rsidRPr="004C6B7A" w:rsidRDefault="0094484D" w:rsidP="0094484D">
            <w:pPr>
              <w:pStyle w:val="ListParagraph"/>
              <w:ind w:left="0"/>
              <w:rPr>
                <w:rFonts w:ascii="Times New Roman" w:hAnsi="Times New Roman" w:cs="Times New Roman"/>
              </w:rPr>
            </w:pPr>
            <w:r w:rsidRPr="004C6B7A">
              <w:rPr>
                <w:rFonts w:ascii="Times New Roman" w:hAnsi="Times New Roman" w:cs="Times New Roman"/>
              </w:rPr>
              <w:t>Planning/ Design/ Engineering/ Environmental Documentation</w:t>
            </w:r>
          </w:p>
        </w:tc>
        <w:tc>
          <w:tcPr>
            <w:tcW w:w="1620" w:type="dxa"/>
          </w:tcPr>
          <w:p w14:paraId="131DE6E8" w14:textId="7621E4E4" w:rsidR="0094484D" w:rsidRDefault="0094484D" w:rsidP="0094484D">
            <w:pPr>
              <w:pStyle w:val="ListParagraph"/>
              <w:ind w:left="0"/>
              <w:rPr>
                <w:rFonts w:ascii="Times New Roman" w:hAnsi="Times New Roman" w:cs="Times New Roman"/>
                <w:b/>
                <w:bCs/>
              </w:rPr>
            </w:pPr>
            <w:r w:rsidRPr="00035073">
              <w:rPr>
                <w:rFonts w:ascii="Times New Roman" w:hAnsi="Times New Roman" w:cs="Times New Roman"/>
              </w:rPr>
              <w:t>6/30/2022</w:t>
            </w:r>
          </w:p>
        </w:tc>
        <w:tc>
          <w:tcPr>
            <w:tcW w:w="1705" w:type="dxa"/>
          </w:tcPr>
          <w:p w14:paraId="7D301617" w14:textId="62FA4CDD" w:rsidR="0094484D" w:rsidRDefault="00510A55" w:rsidP="0094484D">
            <w:pPr>
              <w:pStyle w:val="ListParagraph"/>
              <w:ind w:left="0"/>
              <w:rPr>
                <w:rFonts w:ascii="Times New Roman" w:hAnsi="Times New Roman" w:cs="Times New Roman"/>
                <w:b/>
                <w:bCs/>
              </w:rPr>
            </w:pPr>
            <w:r>
              <w:rPr>
                <w:rFonts w:ascii="Times New Roman" w:hAnsi="Times New Roman" w:cs="Times New Roman"/>
              </w:rPr>
              <w:t>3</w:t>
            </w:r>
            <w:r w:rsidR="0094484D" w:rsidRPr="00035073">
              <w:rPr>
                <w:rFonts w:ascii="Times New Roman" w:hAnsi="Times New Roman" w:cs="Times New Roman"/>
              </w:rPr>
              <w:t>/</w:t>
            </w:r>
            <w:r>
              <w:rPr>
                <w:rFonts w:ascii="Times New Roman" w:hAnsi="Times New Roman" w:cs="Times New Roman"/>
              </w:rPr>
              <w:t>3</w:t>
            </w:r>
            <w:r w:rsidR="0094484D" w:rsidRPr="00035073">
              <w:rPr>
                <w:rFonts w:ascii="Times New Roman" w:hAnsi="Times New Roman" w:cs="Times New Roman"/>
              </w:rPr>
              <w:t>1/202</w:t>
            </w:r>
            <w:r>
              <w:rPr>
                <w:rFonts w:ascii="Times New Roman" w:hAnsi="Times New Roman" w:cs="Times New Roman"/>
              </w:rPr>
              <w:t>6</w:t>
            </w:r>
          </w:p>
        </w:tc>
      </w:tr>
      <w:tr w:rsidR="0094484D" w:rsidRPr="00E352B2" w14:paraId="66E10C7C" w14:textId="77777777" w:rsidTr="0094484D">
        <w:tc>
          <w:tcPr>
            <w:tcW w:w="895" w:type="dxa"/>
            <w:vAlign w:val="center"/>
          </w:tcPr>
          <w:p w14:paraId="21AC236B" w14:textId="77777777" w:rsidR="0094484D" w:rsidRPr="00E352B2" w:rsidRDefault="0094484D" w:rsidP="0094484D">
            <w:pPr>
              <w:pStyle w:val="ListParagraph"/>
              <w:numPr>
                <w:ilvl w:val="0"/>
                <w:numId w:val="4"/>
              </w:numPr>
              <w:rPr>
                <w:rFonts w:ascii="Times New Roman" w:hAnsi="Times New Roman" w:cs="Times New Roman"/>
              </w:rPr>
            </w:pPr>
          </w:p>
        </w:tc>
        <w:tc>
          <w:tcPr>
            <w:tcW w:w="4410" w:type="dxa"/>
          </w:tcPr>
          <w:p w14:paraId="63D7822E" w14:textId="76482E9A" w:rsidR="0094484D" w:rsidRPr="00E352B2" w:rsidRDefault="0094484D" w:rsidP="0094484D">
            <w:pPr>
              <w:pStyle w:val="ListParagraph"/>
              <w:ind w:left="0"/>
              <w:rPr>
                <w:rFonts w:ascii="Times New Roman" w:hAnsi="Times New Roman" w:cs="Times New Roman"/>
              </w:rPr>
            </w:pPr>
            <w:r w:rsidRPr="00E352B2">
              <w:rPr>
                <w:rFonts w:ascii="Times New Roman" w:hAnsi="Times New Roman" w:cs="Times New Roman"/>
              </w:rPr>
              <w:t>Construction/ Implementation</w:t>
            </w:r>
          </w:p>
        </w:tc>
        <w:tc>
          <w:tcPr>
            <w:tcW w:w="1620" w:type="dxa"/>
          </w:tcPr>
          <w:p w14:paraId="5DAA1565" w14:textId="2137000A" w:rsidR="0094484D" w:rsidRPr="00E352B2" w:rsidRDefault="00E352B2" w:rsidP="0094484D">
            <w:pPr>
              <w:pStyle w:val="ListParagraph"/>
              <w:ind w:left="0"/>
              <w:rPr>
                <w:rFonts w:ascii="Times New Roman" w:hAnsi="Times New Roman" w:cs="Times New Roman"/>
              </w:rPr>
            </w:pPr>
            <w:r w:rsidRPr="00E352B2">
              <w:rPr>
                <w:rFonts w:ascii="Times New Roman" w:hAnsi="Times New Roman" w:cs="Times New Roman"/>
              </w:rPr>
              <w:t>9/1/2022</w:t>
            </w:r>
          </w:p>
        </w:tc>
        <w:tc>
          <w:tcPr>
            <w:tcW w:w="1705" w:type="dxa"/>
          </w:tcPr>
          <w:p w14:paraId="6103B91A" w14:textId="1F4CF635" w:rsidR="0094484D" w:rsidRPr="00E352B2" w:rsidRDefault="00510A55" w:rsidP="0094484D">
            <w:pPr>
              <w:pStyle w:val="ListParagraph"/>
              <w:ind w:left="0"/>
              <w:rPr>
                <w:rFonts w:ascii="Times New Roman" w:hAnsi="Times New Roman" w:cs="Times New Roman"/>
              </w:rPr>
            </w:pPr>
            <w:r>
              <w:rPr>
                <w:rFonts w:ascii="Times New Roman" w:hAnsi="Times New Roman" w:cs="Times New Roman"/>
              </w:rPr>
              <w:t>3/31</w:t>
            </w:r>
            <w:r w:rsidR="00E352B2" w:rsidRPr="00E352B2">
              <w:rPr>
                <w:rFonts w:ascii="Times New Roman" w:hAnsi="Times New Roman" w:cs="Times New Roman"/>
              </w:rPr>
              <w:t>/202</w:t>
            </w:r>
            <w:r>
              <w:rPr>
                <w:rFonts w:ascii="Times New Roman" w:hAnsi="Times New Roman" w:cs="Times New Roman"/>
              </w:rPr>
              <w:t>6</w:t>
            </w:r>
          </w:p>
        </w:tc>
      </w:tr>
    </w:tbl>
    <w:p w14:paraId="0062C529" w14:textId="723957BE" w:rsidR="00CD18DA" w:rsidRDefault="00CD18DA" w:rsidP="002F1E21">
      <w:pPr>
        <w:pStyle w:val="ListParagraph"/>
        <w:rPr>
          <w:rFonts w:ascii="Times New Roman" w:hAnsi="Times New Roman" w:cs="Times New Roman"/>
        </w:rPr>
      </w:pPr>
    </w:p>
    <w:p w14:paraId="6019791C" w14:textId="77777777" w:rsidR="00726F22" w:rsidRPr="00945E32" w:rsidRDefault="00726F22" w:rsidP="00726F22">
      <w:pPr>
        <w:ind w:left="360"/>
        <w:rPr>
          <w:rFonts w:ascii="Times New Roman" w:hAnsi="Times New Roman" w:cs="Times New Roman"/>
        </w:rPr>
      </w:pPr>
      <w:r w:rsidRPr="00945E32">
        <w:rPr>
          <w:rFonts w:ascii="Times New Roman" w:hAnsi="Times New Roman" w:cs="Times New Roman"/>
          <w:highlight w:val="yellow"/>
        </w:rPr>
        <w:t>[ May need revision***]</w:t>
      </w:r>
      <w:r w:rsidRPr="00945E32">
        <w:rPr>
          <w:rFonts w:ascii="Times New Roman" w:hAnsi="Times New Roman" w:cs="Times New Roman"/>
        </w:rPr>
        <w:t xml:space="preserve"> </w:t>
      </w:r>
    </w:p>
    <w:p w14:paraId="72B40214" w14:textId="77777777" w:rsidR="00CD40A8" w:rsidRPr="00CD40A8" w:rsidRDefault="00CD40A8" w:rsidP="00CD40A8">
      <w:pPr>
        <w:ind w:left="1080"/>
        <w:rPr>
          <w:rFonts w:ascii="Times New Roman" w:hAnsi="Times New Roman" w:cs="Times New Roman"/>
          <w:b/>
          <w:bCs/>
        </w:rPr>
      </w:pPr>
    </w:p>
    <w:sectPr w:rsidR="00CD40A8" w:rsidRPr="00CD40A8" w:rsidSect="0020638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lsey McNeill" w:date="2022-03-16T15:47:00Z" w:initials="KM">
    <w:p w14:paraId="526CAD7D" w14:textId="13D6025C" w:rsidR="002229E4" w:rsidRDefault="002229E4">
      <w:pPr>
        <w:pStyle w:val="CommentText"/>
      </w:pPr>
      <w:r>
        <w:rPr>
          <w:rStyle w:val="CommentReference"/>
        </w:rPr>
        <w:annotationRef/>
      </w:r>
      <w:r w:rsidR="00D434F8">
        <w:t xml:space="preserve">Please provide additional </w:t>
      </w:r>
      <w:r w:rsidR="00AD5D31">
        <w:t xml:space="preserve">information on how the location will be selected to measure benefit (i.e., environmental). </w:t>
      </w:r>
    </w:p>
  </w:comment>
  <w:comment w:id="1" w:author="Kelsey McNeill" w:date="2022-03-16T15:49:00Z" w:initials="KM">
    <w:p w14:paraId="35571846" w14:textId="37387A05" w:rsidR="00742B9C" w:rsidRDefault="00742B9C">
      <w:pPr>
        <w:pStyle w:val="CommentText"/>
      </w:pPr>
      <w:r>
        <w:rPr>
          <w:rStyle w:val="CommentReference"/>
        </w:rPr>
        <w:annotationRef/>
      </w:r>
      <w:r w:rsidR="00044769">
        <w:t xml:space="preserve">This can be collapsed into other tasks if space is limited </w:t>
      </w:r>
      <w:r>
        <w:t xml:space="preserve"> </w:t>
      </w:r>
    </w:p>
  </w:comment>
  <w:comment w:id="2" w:author="Kelsey McNeill" w:date="2022-03-16T13:17:00Z" w:initials="KM">
    <w:p w14:paraId="153D72F3" w14:textId="3B4E80CC" w:rsidR="00B950FC" w:rsidRDefault="00B950FC">
      <w:pPr>
        <w:pStyle w:val="CommentText"/>
      </w:pPr>
      <w:r>
        <w:rPr>
          <w:rStyle w:val="CommentReference"/>
        </w:rPr>
        <w:annotationRef/>
      </w:r>
      <w:r w:rsidR="004B6743">
        <w:t xml:space="preserve"> Please add detail here on the approach </w:t>
      </w:r>
      <w:r w:rsidR="00044769">
        <w:t xml:space="preserve">for this infrastructure. </w:t>
      </w:r>
    </w:p>
  </w:comment>
  <w:comment w:id="3" w:author="Kelsey McNeill" w:date="2022-03-16T16:37:00Z" w:initials="KM">
    <w:p w14:paraId="3B149F5D" w14:textId="476C91E7" w:rsidR="008554AA" w:rsidRDefault="008554AA">
      <w:pPr>
        <w:pStyle w:val="CommentText"/>
      </w:pPr>
      <w:r>
        <w:rPr>
          <w:rStyle w:val="CommentReference"/>
        </w:rPr>
        <w:annotationRef/>
      </w:r>
      <w:r>
        <w:t xml:space="preserve">This is from the 2019 IRWM application- </w:t>
      </w:r>
      <w:r w:rsidR="00B06C84">
        <w:t xml:space="preserve">please update if necessary. </w:t>
      </w:r>
    </w:p>
  </w:comment>
  <w:comment w:id="4" w:author="Kelsey McNeill" w:date="2022-03-16T15:57:00Z" w:initials="KM">
    <w:p w14:paraId="1B227434" w14:textId="5DDFD65F" w:rsidR="006324A2" w:rsidRDefault="006324A2">
      <w:pPr>
        <w:pStyle w:val="CommentText"/>
      </w:pPr>
      <w:r>
        <w:rPr>
          <w:rStyle w:val="CommentReference"/>
        </w:rPr>
        <w:annotationRef/>
      </w:r>
      <w:r w:rsidR="00770596">
        <w:t xml:space="preserve">To be updated with the final amount in the budget.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6CAD7D" w15:done="0"/>
  <w15:commentEx w15:paraId="35571846" w15:done="0"/>
  <w15:commentEx w15:paraId="153D72F3" w15:done="0"/>
  <w15:commentEx w15:paraId="3B149F5D" w15:done="0"/>
  <w15:commentEx w15:paraId="1B2274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84F6" w16cex:dateUtc="2022-03-16T22:47:00Z"/>
  <w16cex:commentExtensible w16cex:durableId="25DC8572" w16cex:dateUtc="2022-03-16T22:49:00Z"/>
  <w16cex:commentExtensible w16cex:durableId="25DC61D6" w16cex:dateUtc="2022-03-16T20:17:00Z"/>
  <w16cex:commentExtensible w16cex:durableId="25DC90DB" w16cex:dateUtc="2022-03-16T23:37:00Z"/>
  <w16cex:commentExtensible w16cex:durableId="25DC875C" w16cex:dateUtc="2022-03-16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6CAD7D" w16cid:durableId="25DC84F6"/>
  <w16cid:commentId w16cid:paraId="35571846" w16cid:durableId="25DC8572"/>
  <w16cid:commentId w16cid:paraId="153D72F3" w16cid:durableId="25DC61D6"/>
  <w16cid:commentId w16cid:paraId="3B149F5D" w16cid:durableId="25DC90DB"/>
  <w16cid:commentId w16cid:paraId="1B227434" w16cid:durableId="25DC87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7206" w14:textId="77777777" w:rsidR="00FC7EFE" w:rsidRDefault="00FC7EFE" w:rsidP="00E52A20">
      <w:r>
        <w:separator/>
      </w:r>
    </w:p>
  </w:endnote>
  <w:endnote w:type="continuationSeparator" w:id="0">
    <w:p w14:paraId="2A8E606C" w14:textId="77777777" w:rsidR="00FC7EFE" w:rsidRDefault="00FC7EFE" w:rsidP="00E5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12DE" w14:textId="77777777" w:rsidR="00FC7EFE" w:rsidRDefault="00FC7EFE" w:rsidP="00E52A20">
      <w:r>
        <w:separator/>
      </w:r>
    </w:p>
  </w:footnote>
  <w:footnote w:type="continuationSeparator" w:id="0">
    <w:p w14:paraId="2E7BBB5D" w14:textId="77777777" w:rsidR="00FC7EFE" w:rsidRDefault="00FC7EFE" w:rsidP="00E52A20">
      <w:r>
        <w:continuationSeparator/>
      </w:r>
    </w:p>
  </w:footnote>
  <w:footnote w:id="1">
    <w:p w14:paraId="04C6EC7A" w14:textId="46527259" w:rsidR="00E52A20" w:rsidRDefault="00E52A20">
      <w:pPr>
        <w:pStyle w:val="FootnoteText"/>
      </w:pPr>
      <w:r>
        <w:rPr>
          <w:rStyle w:val="FootnoteReference"/>
        </w:rPr>
        <w:footnoteRef/>
      </w:r>
      <w:r>
        <w:t xml:space="preserve"> </w:t>
      </w:r>
      <w:hyperlink r:id="rId1" w:history="1">
        <w:r w:rsidR="003138E7" w:rsidRPr="0013722E">
          <w:rPr>
            <w:rStyle w:val="Hyperlink"/>
          </w:rPr>
          <w:t>https://www.drought.gov/states/california/county/Siskiyou</w:t>
        </w:r>
      </w:hyperlink>
      <w:r w:rsidR="003138E7">
        <w:t xml:space="preserve"> </w:t>
      </w:r>
    </w:p>
  </w:footnote>
  <w:footnote w:id="2">
    <w:p w14:paraId="77716BE0" w14:textId="5C589D47" w:rsidR="008B4F8C" w:rsidRDefault="008B4F8C">
      <w:pPr>
        <w:pStyle w:val="FootnoteText"/>
      </w:pPr>
      <w:r>
        <w:rPr>
          <w:rStyle w:val="FootnoteReference"/>
        </w:rPr>
        <w:footnoteRef/>
      </w:r>
      <w:r>
        <w:t xml:space="preserve"> </w:t>
      </w:r>
      <w:hyperlink r:id="rId2" w:history="1">
        <w:r w:rsidRPr="0013722E">
          <w:rPr>
            <w:rStyle w:val="Hyperlink"/>
          </w:rPr>
          <w:t>https://www.waterboards.ca.gov/press_room/press_releases/2021/pr09132021-scott-shasta-curtailments.pdf</w:t>
        </w:r>
      </w:hyperlink>
      <w:r>
        <w:t xml:space="preserve"> </w:t>
      </w:r>
    </w:p>
  </w:footnote>
  <w:footnote w:id="3">
    <w:p w14:paraId="5C18BD41" w14:textId="3A266AAC" w:rsidR="00696C1F" w:rsidRDefault="00696C1F">
      <w:pPr>
        <w:pStyle w:val="FootnoteText"/>
      </w:pPr>
      <w:r>
        <w:rPr>
          <w:rStyle w:val="FootnoteReference"/>
        </w:rPr>
        <w:footnoteRef/>
      </w:r>
      <w:r>
        <w:t xml:space="preserve"> </w:t>
      </w:r>
      <w:hyperlink r:id="rId3" w:history="1">
        <w:r w:rsidRPr="00D437EB">
          <w:rPr>
            <w:rStyle w:val="Hyperlink"/>
          </w:rPr>
          <w:t>https://www.agalert.com/story/?id=15580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F24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3038FF"/>
    <w:multiLevelType w:val="hybridMultilevel"/>
    <w:tmpl w:val="347CE85A"/>
    <w:lvl w:ilvl="0" w:tplc="B448AB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F84B37"/>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3A794A"/>
    <w:multiLevelType w:val="hybridMultilevel"/>
    <w:tmpl w:val="D938EF22"/>
    <w:lvl w:ilvl="0" w:tplc="B28E659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sey McNeill">
    <w15:presenceInfo w15:providerId="Windows Live" w15:userId="b91988d8cf4c6a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1A"/>
    <w:rsid w:val="00001EB1"/>
    <w:rsid w:val="00001FA8"/>
    <w:rsid w:val="00002000"/>
    <w:rsid w:val="00002D07"/>
    <w:rsid w:val="00006B49"/>
    <w:rsid w:val="00013759"/>
    <w:rsid w:val="0001666F"/>
    <w:rsid w:val="0001716D"/>
    <w:rsid w:val="00020D72"/>
    <w:rsid w:val="000226FE"/>
    <w:rsid w:val="0002418E"/>
    <w:rsid w:val="0002421F"/>
    <w:rsid w:val="00027352"/>
    <w:rsid w:val="00032A6C"/>
    <w:rsid w:val="00032B5D"/>
    <w:rsid w:val="00032EF8"/>
    <w:rsid w:val="00035073"/>
    <w:rsid w:val="00035F4B"/>
    <w:rsid w:val="00036D6C"/>
    <w:rsid w:val="0004129E"/>
    <w:rsid w:val="00041ED1"/>
    <w:rsid w:val="00044769"/>
    <w:rsid w:val="00045618"/>
    <w:rsid w:val="0004634D"/>
    <w:rsid w:val="00047FD8"/>
    <w:rsid w:val="000503FD"/>
    <w:rsid w:val="00053A13"/>
    <w:rsid w:val="0005484D"/>
    <w:rsid w:val="000556B5"/>
    <w:rsid w:val="00055C50"/>
    <w:rsid w:val="0006376C"/>
    <w:rsid w:val="00073C85"/>
    <w:rsid w:val="000742C4"/>
    <w:rsid w:val="00077715"/>
    <w:rsid w:val="0008057C"/>
    <w:rsid w:val="00080EA8"/>
    <w:rsid w:val="0008273F"/>
    <w:rsid w:val="000852EC"/>
    <w:rsid w:val="00086081"/>
    <w:rsid w:val="00094214"/>
    <w:rsid w:val="00094AD0"/>
    <w:rsid w:val="000A1574"/>
    <w:rsid w:val="000A1998"/>
    <w:rsid w:val="000A5593"/>
    <w:rsid w:val="000A7767"/>
    <w:rsid w:val="000B0E30"/>
    <w:rsid w:val="000B1AFE"/>
    <w:rsid w:val="000B73AB"/>
    <w:rsid w:val="000C0C38"/>
    <w:rsid w:val="000C2B7D"/>
    <w:rsid w:val="000C339F"/>
    <w:rsid w:val="000C67EB"/>
    <w:rsid w:val="000D1292"/>
    <w:rsid w:val="000D1BAB"/>
    <w:rsid w:val="000D4B56"/>
    <w:rsid w:val="000E0E66"/>
    <w:rsid w:val="000E1F92"/>
    <w:rsid w:val="000E74BB"/>
    <w:rsid w:val="000E7A65"/>
    <w:rsid w:val="000F0CFB"/>
    <w:rsid w:val="000F11AA"/>
    <w:rsid w:val="000F2AA1"/>
    <w:rsid w:val="000F4462"/>
    <w:rsid w:val="000F4493"/>
    <w:rsid w:val="000F59D6"/>
    <w:rsid w:val="000F6380"/>
    <w:rsid w:val="000F6ED5"/>
    <w:rsid w:val="0010359F"/>
    <w:rsid w:val="00103DB9"/>
    <w:rsid w:val="00110BD1"/>
    <w:rsid w:val="00114347"/>
    <w:rsid w:val="00115746"/>
    <w:rsid w:val="00115EB1"/>
    <w:rsid w:val="001165AA"/>
    <w:rsid w:val="00117B21"/>
    <w:rsid w:val="00120CDE"/>
    <w:rsid w:val="001221E7"/>
    <w:rsid w:val="001233DD"/>
    <w:rsid w:val="00135047"/>
    <w:rsid w:val="001350E5"/>
    <w:rsid w:val="00142E11"/>
    <w:rsid w:val="0014409A"/>
    <w:rsid w:val="001473FE"/>
    <w:rsid w:val="00150EC7"/>
    <w:rsid w:val="00152871"/>
    <w:rsid w:val="00155065"/>
    <w:rsid w:val="00155502"/>
    <w:rsid w:val="00156388"/>
    <w:rsid w:val="001572F6"/>
    <w:rsid w:val="0016014C"/>
    <w:rsid w:val="00160BA9"/>
    <w:rsid w:val="001613F2"/>
    <w:rsid w:val="001619F2"/>
    <w:rsid w:val="00162EA3"/>
    <w:rsid w:val="00164C61"/>
    <w:rsid w:val="001708E6"/>
    <w:rsid w:val="001714F7"/>
    <w:rsid w:val="00172C93"/>
    <w:rsid w:val="00173850"/>
    <w:rsid w:val="00176D2B"/>
    <w:rsid w:val="00194190"/>
    <w:rsid w:val="001959D7"/>
    <w:rsid w:val="00197370"/>
    <w:rsid w:val="001978CF"/>
    <w:rsid w:val="001A2D4D"/>
    <w:rsid w:val="001A34F0"/>
    <w:rsid w:val="001A6CC2"/>
    <w:rsid w:val="001A6D1C"/>
    <w:rsid w:val="001A7C0E"/>
    <w:rsid w:val="001A7CEB"/>
    <w:rsid w:val="001B0590"/>
    <w:rsid w:val="001B123F"/>
    <w:rsid w:val="001B3DB2"/>
    <w:rsid w:val="001B4A44"/>
    <w:rsid w:val="001B5C3F"/>
    <w:rsid w:val="001B62EE"/>
    <w:rsid w:val="001C3E05"/>
    <w:rsid w:val="001C4591"/>
    <w:rsid w:val="001C5DAC"/>
    <w:rsid w:val="001C60A3"/>
    <w:rsid w:val="001C681B"/>
    <w:rsid w:val="001D4231"/>
    <w:rsid w:val="001D4876"/>
    <w:rsid w:val="001D4D70"/>
    <w:rsid w:val="001E0A98"/>
    <w:rsid w:val="001E129F"/>
    <w:rsid w:val="001E2E96"/>
    <w:rsid w:val="001E3E4E"/>
    <w:rsid w:val="001E6648"/>
    <w:rsid w:val="001F07C0"/>
    <w:rsid w:val="001F19AB"/>
    <w:rsid w:val="001F1F3D"/>
    <w:rsid w:val="001F2BB1"/>
    <w:rsid w:val="001F391D"/>
    <w:rsid w:val="001F397C"/>
    <w:rsid w:val="001F52BA"/>
    <w:rsid w:val="001F7855"/>
    <w:rsid w:val="0020236E"/>
    <w:rsid w:val="0020638C"/>
    <w:rsid w:val="00206BDC"/>
    <w:rsid w:val="00207B99"/>
    <w:rsid w:val="0021159E"/>
    <w:rsid w:val="002117F4"/>
    <w:rsid w:val="00211FD9"/>
    <w:rsid w:val="00221154"/>
    <w:rsid w:val="002229E4"/>
    <w:rsid w:val="0022323A"/>
    <w:rsid w:val="00226410"/>
    <w:rsid w:val="0022787D"/>
    <w:rsid w:val="00230B0B"/>
    <w:rsid w:val="00232276"/>
    <w:rsid w:val="002341CB"/>
    <w:rsid w:val="00235CFC"/>
    <w:rsid w:val="00237026"/>
    <w:rsid w:val="002445EE"/>
    <w:rsid w:val="00245CD1"/>
    <w:rsid w:val="00247E27"/>
    <w:rsid w:val="0025046A"/>
    <w:rsid w:val="00252324"/>
    <w:rsid w:val="00254777"/>
    <w:rsid w:val="00254C7A"/>
    <w:rsid w:val="00254D5C"/>
    <w:rsid w:val="00260348"/>
    <w:rsid w:val="00261EC2"/>
    <w:rsid w:val="00262117"/>
    <w:rsid w:val="00262199"/>
    <w:rsid w:val="00262A74"/>
    <w:rsid w:val="00266C06"/>
    <w:rsid w:val="00270446"/>
    <w:rsid w:val="0027063E"/>
    <w:rsid w:val="00271A74"/>
    <w:rsid w:val="00274559"/>
    <w:rsid w:val="0027559C"/>
    <w:rsid w:val="00276933"/>
    <w:rsid w:val="002852BE"/>
    <w:rsid w:val="00287AF9"/>
    <w:rsid w:val="0029440E"/>
    <w:rsid w:val="00296E5A"/>
    <w:rsid w:val="00297DF5"/>
    <w:rsid w:val="002A3051"/>
    <w:rsid w:val="002A4410"/>
    <w:rsid w:val="002A478B"/>
    <w:rsid w:val="002B48E9"/>
    <w:rsid w:val="002B65BF"/>
    <w:rsid w:val="002B6756"/>
    <w:rsid w:val="002B695A"/>
    <w:rsid w:val="002B7BF4"/>
    <w:rsid w:val="002C0F55"/>
    <w:rsid w:val="002C12F1"/>
    <w:rsid w:val="002C43E9"/>
    <w:rsid w:val="002C4E74"/>
    <w:rsid w:val="002C76E5"/>
    <w:rsid w:val="002D194D"/>
    <w:rsid w:val="002D60CD"/>
    <w:rsid w:val="002D6D8D"/>
    <w:rsid w:val="002E1B90"/>
    <w:rsid w:val="002E3501"/>
    <w:rsid w:val="002E4573"/>
    <w:rsid w:val="002E45A8"/>
    <w:rsid w:val="002E536D"/>
    <w:rsid w:val="002F0A8B"/>
    <w:rsid w:val="002F0D09"/>
    <w:rsid w:val="002F0FB4"/>
    <w:rsid w:val="002F17FE"/>
    <w:rsid w:val="002F1CCC"/>
    <w:rsid w:val="002F1E21"/>
    <w:rsid w:val="00301D63"/>
    <w:rsid w:val="00302553"/>
    <w:rsid w:val="003026B1"/>
    <w:rsid w:val="00303BD7"/>
    <w:rsid w:val="00307799"/>
    <w:rsid w:val="003138E7"/>
    <w:rsid w:val="00316136"/>
    <w:rsid w:val="003161B1"/>
    <w:rsid w:val="00316FD6"/>
    <w:rsid w:val="0032224B"/>
    <w:rsid w:val="00322CB2"/>
    <w:rsid w:val="00323BA9"/>
    <w:rsid w:val="00331E97"/>
    <w:rsid w:val="00334BDE"/>
    <w:rsid w:val="00335C49"/>
    <w:rsid w:val="00337376"/>
    <w:rsid w:val="003375EF"/>
    <w:rsid w:val="003401AE"/>
    <w:rsid w:val="00342129"/>
    <w:rsid w:val="00344004"/>
    <w:rsid w:val="00344D1B"/>
    <w:rsid w:val="00345766"/>
    <w:rsid w:val="00350A2C"/>
    <w:rsid w:val="00351712"/>
    <w:rsid w:val="00351F69"/>
    <w:rsid w:val="003528EC"/>
    <w:rsid w:val="00353E0C"/>
    <w:rsid w:val="00355C7B"/>
    <w:rsid w:val="00355E75"/>
    <w:rsid w:val="00361FB4"/>
    <w:rsid w:val="00363515"/>
    <w:rsid w:val="003647D0"/>
    <w:rsid w:val="00365697"/>
    <w:rsid w:val="003727C5"/>
    <w:rsid w:val="003729D9"/>
    <w:rsid w:val="00372EFF"/>
    <w:rsid w:val="003737BA"/>
    <w:rsid w:val="0037408D"/>
    <w:rsid w:val="00375834"/>
    <w:rsid w:val="00377FCB"/>
    <w:rsid w:val="00380395"/>
    <w:rsid w:val="0038083C"/>
    <w:rsid w:val="00384D82"/>
    <w:rsid w:val="0038543F"/>
    <w:rsid w:val="00387D73"/>
    <w:rsid w:val="00390243"/>
    <w:rsid w:val="003919CA"/>
    <w:rsid w:val="00393026"/>
    <w:rsid w:val="00393340"/>
    <w:rsid w:val="00394BAC"/>
    <w:rsid w:val="003A1262"/>
    <w:rsid w:val="003A1762"/>
    <w:rsid w:val="003A1873"/>
    <w:rsid w:val="003A3D61"/>
    <w:rsid w:val="003A42F1"/>
    <w:rsid w:val="003A4418"/>
    <w:rsid w:val="003A5DC8"/>
    <w:rsid w:val="003A5F60"/>
    <w:rsid w:val="003B3EAF"/>
    <w:rsid w:val="003C20A0"/>
    <w:rsid w:val="003C305A"/>
    <w:rsid w:val="003C3061"/>
    <w:rsid w:val="003C39AD"/>
    <w:rsid w:val="003C5934"/>
    <w:rsid w:val="003C6D7B"/>
    <w:rsid w:val="003D18DD"/>
    <w:rsid w:val="003D2CD3"/>
    <w:rsid w:val="003E3F08"/>
    <w:rsid w:val="003E5286"/>
    <w:rsid w:val="003E6B61"/>
    <w:rsid w:val="003E7CDC"/>
    <w:rsid w:val="003E7FD0"/>
    <w:rsid w:val="003F23CD"/>
    <w:rsid w:val="003F3092"/>
    <w:rsid w:val="003F6529"/>
    <w:rsid w:val="00404E57"/>
    <w:rsid w:val="00406C6D"/>
    <w:rsid w:val="00410DA4"/>
    <w:rsid w:val="004119D3"/>
    <w:rsid w:val="00423901"/>
    <w:rsid w:val="00426259"/>
    <w:rsid w:val="00426870"/>
    <w:rsid w:val="004269E7"/>
    <w:rsid w:val="004272E9"/>
    <w:rsid w:val="004319C9"/>
    <w:rsid w:val="00432A43"/>
    <w:rsid w:val="00434FD3"/>
    <w:rsid w:val="00436139"/>
    <w:rsid w:val="00437A0A"/>
    <w:rsid w:val="0044131A"/>
    <w:rsid w:val="00442E44"/>
    <w:rsid w:val="00445E0D"/>
    <w:rsid w:val="004521C6"/>
    <w:rsid w:val="00452882"/>
    <w:rsid w:val="0046069A"/>
    <w:rsid w:val="00461800"/>
    <w:rsid w:val="00464402"/>
    <w:rsid w:val="00470609"/>
    <w:rsid w:val="00470C17"/>
    <w:rsid w:val="004713AA"/>
    <w:rsid w:val="004766F8"/>
    <w:rsid w:val="00476E5B"/>
    <w:rsid w:val="00481349"/>
    <w:rsid w:val="004817BF"/>
    <w:rsid w:val="0048288C"/>
    <w:rsid w:val="004860F7"/>
    <w:rsid w:val="00486F84"/>
    <w:rsid w:val="00491091"/>
    <w:rsid w:val="0049159B"/>
    <w:rsid w:val="00496660"/>
    <w:rsid w:val="004A24F2"/>
    <w:rsid w:val="004B3296"/>
    <w:rsid w:val="004B4661"/>
    <w:rsid w:val="004B5F33"/>
    <w:rsid w:val="004B6743"/>
    <w:rsid w:val="004C24E2"/>
    <w:rsid w:val="004C2783"/>
    <w:rsid w:val="004C4C54"/>
    <w:rsid w:val="004C6B7A"/>
    <w:rsid w:val="004D03CB"/>
    <w:rsid w:val="004D1724"/>
    <w:rsid w:val="004D2087"/>
    <w:rsid w:val="004D26C1"/>
    <w:rsid w:val="004D3BA2"/>
    <w:rsid w:val="004D3EC5"/>
    <w:rsid w:val="004D4746"/>
    <w:rsid w:val="004D4EE9"/>
    <w:rsid w:val="004D64DE"/>
    <w:rsid w:val="004D7C35"/>
    <w:rsid w:val="004E2363"/>
    <w:rsid w:val="004E27F7"/>
    <w:rsid w:val="004E3F84"/>
    <w:rsid w:val="004E44EC"/>
    <w:rsid w:val="004E4D39"/>
    <w:rsid w:val="004E55AC"/>
    <w:rsid w:val="004E678A"/>
    <w:rsid w:val="004E6DC7"/>
    <w:rsid w:val="004F186C"/>
    <w:rsid w:val="004F25EA"/>
    <w:rsid w:val="0050122E"/>
    <w:rsid w:val="00502AB6"/>
    <w:rsid w:val="00503DBE"/>
    <w:rsid w:val="00506152"/>
    <w:rsid w:val="00510A55"/>
    <w:rsid w:val="00511CBB"/>
    <w:rsid w:val="005143B4"/>
    <w:rsid w:val="005209FC"/>
    <w:rsid w:val="005224DF"/>
    <w:rsid w:val="00524626"/>
    <w:rsid w:val="00524A1A"/>
    <w:rsid w:val="00525E77"/>
    <w:rsid w:val="00527D10"/>
    <w:rsid w:val="0053355A"/>
    <w:rsid w:val="00541A20"/>
    <w:rsid w:val="0054286E"/>
    <w:rsid w:val="00543733"/>
    <w:rsid w:val="00543835"/>
    <w:rsid w:val="005467F0"/>
    <w:rsid w:val="005476FD"/>
    <w:rsid w:val="005506A7"/>
    <w:rsid w:val="00555D97"/>
    <w:rsid w:val="00561721"/>
    <w:rsid w:val="00562AE4"/>
    <w:rsid w:val="00562C0A"/>
    <w:rsid w:val="00563CD7"/>
    <w:rsid w:val="005668D6"/>
    <w:rsid w:val="00572461"/>
    <w:rsid w:val="00573276"/>
    <w:rsid w:val="00576962"/>
    <w:rsid w:val="0057786A"/>
    <w:rsid w:val="005829FB"/>
    <w:rsid w:val="0059018D"/>
    <w:rsid w:val="00591E3D"/>
    <w:rsid w:val="00594E3F"/>
    <w:rsid w:val="00596B76"/>
    <w:rsid w:val="005A32DA"/>
    <w:rsid w:val="005B1E05"/>
    <w:rsid w:val="005B2643"/>
    <w:rsid w:val="005B6974"/>
    <w:rsid w:val="005B7859"/>
    <w:rsid w:val="005C0738"/>
    <w:rsid w:val="005C1029"/>
    <w:rsid w:val="005C2573"/>
    <w:rsid w:val="005C6812"/>
    <w:rsid w:val="005C7C3A"/>
    <w:rsid w:val="005D1CA6"/>
    <w:rsid w:val="005D3735"/>
    <w:rsid w:val="005D5909"/>
    <w:rsid w:val="005D6BA5"/>
    <w:rsid w:val="005D7D04"/>
    <w:rsid w:val="005E0572"/>
    <w:rsid w:val="005E099E"/>
    <w:rsid w:val="005E6437"/>
    <w:rsid w:val="005F0616"/>
    <w:rsid w:val="005F220A"/>
    <w:rsid w:val="005F2A38"/>
    <w:rsid w:val="005F66D4"/>
    <w:rsid w:val="00600A3E"/>
    <w:rsid w:val="006029D5"/>
    <w:rsid w:val="00603D5B"/>
    <w:rsid w:val="006041E5"/>
    <w:rsid w:val="006048A1"/>
    <w:rsid w:val="0060737D"/>
    <w:rsid w:val="00607B60"/>
    <w:rsid w:val="0061037C"/>
    <w:rsid w:val="0061058B"/>
    <w:rsid w:val="00612573"/>
    <w:rsid w:val="0061484A"/>
    <w:rsid w:val="00614AF6"/>
    <w:rsid w:val="0061506A"/>
    <w:rsid w:val="006155D0"/>
    <w:rsid w:val="00615B35"/>
    <w:rsid w:val="00620838"/>
    <w:rsid w:val="00626CDB"/>
    <w:rsid w:val="0063206C"/>
    <w:rsid w:val="006324A2"/>
    <w:rsid w:val="0063559B"/>
    <w:rsid w:val="00636A9D"/>
    <w:rsid w:val="00637E87"/>
    <w:rsid w:val="00642322"/>
    <w:rsid w:val="0064328D"/>
    <w:rsid w:val="006435F9"/>
    <w:rsid w:val="006451FB"/>
    <w:rsid w:val="00646209"/>
    <w:rsid w:val="0064682B"/>
    <w:rsid w:val="0064739A"/>
    <w:rsid w:val="0065024B"/>
    <w:rsid w:val="00654AB6"/>
    <w:rsid w:val="006558BD"/>
    <w:rsid w:val="00655EE6"/>
    <w:rsid w:val="00660CE1"/>
    <w:rsid w:val="006627A6"/>
    <w:rsid w:val="006746B2"/>
    <w:rsid w:val="00675B45"/>
    <w:rsid w:val="00677909"/>
    <w:rsid w:val="00680EAE"/>
    <w:rsid w:val="00681338"/>
    <w:rsid w:val="00684193"/>
    <w:rsid w:val="00684E43"/>
    <w:rsid w:val="0069032E"/>
    <w:rsid w:val="00696C1F"/>
    <w:rsid w:val="006A074B"/>
    <w:rsid w:val="006A0DC8"/>
    <w:rsid w:val="006A11C8"/>
    <w:rsid w:val="006A39AC"/>
    <w:rsid w:val="006A3CD4"/>
    <w:rsid w:val="006A49FD"/>
    <w:rsid w:val="006A6AA8"/>
    <w:rsid w:val="006B3A84"/>
    <w:rsid w:val="006B3BFE"/>
    <w:rsid w:val="006B70D0"/>
    <w:rsid w:val="006B76BF"/>
    <w:rsid w:val="006B7767"/>
    <w:rsid w:val="006C0CEE"/>
    <w:rsid w:val="006C1D39"/>
    <w:rsid w:val="006C4100"/>
    <w:rsid w:val="006C62A5"/>
    <w:rsid w:val="006C7614"/>
    <w:rsid w:val="006D108C"/>
    <w:rsid w:val="006D3354"/>
    <w:rsid w:val="006D3F37"/>
    <w:rsid w:val="006D5E0A"/>
    <w:rsid w:val="006E18F3"/>
    <w:rsid w:val="006E1D3C"/>
    <w:rsid w:val="006E30C5"/>
    <w:rsid w:val="006E5470"/>
    <w:rsid w:val="006E65B3"/>
    <w:rsid w:val="006F026F"/>
    <w:rsid w:val="006F7DE2"/>
    <w:rsid w:val="00701E31"/>
    <w:rsid w:val="0070270B"/>
    <w:rsid w:val="007070A0"/>
    <w:rsid w:val="007074CC"/>
    <w:rsid w:val="007102FB"/>
    <w:rsid w:val="00710803"/>
    <w:rsid w:val="00710F5A"/>
    <w:rsid w:val="00712023"/>
    <w:rsid w:val="00712B84"/>
    <w:rsid w:val="00720593"/>
    <w:rsid w:val="007214FB"/>
    <w:rsid w:val="00721F27"/>
    <w:rsid w:val="00723CC9"/>
    <w:rsid w:val="00723DB6"/>
    <w:rsid w:val="007251DB"/>
    <w:rsid w:val="00726F22"/>
    <w:rsid w:val="00731620"/>
    <w:rsid w:val="0073368F"/>
    <w:rsid w:val="00734765"/>
    <w:rsid w:val="00740FEF"/>
    <w:rsid w:val="00742B9C"/>
    <w:rsid w:val="00746D3D"/>
    <w:rsid w:val="007476B3"/>
    <w:rsid w:val="00747B55"/>
    <w:rsid w:val="00750490"/>
    <w:rsid w:val="007508E4"/>
    <w:rsid w:val="007513A0"/>
    <w:rsid w:val="00753829"/>
    <w:rsid w:val="00760401"/>
    <w:rsid w:val="00760A64"/>
    <w:rsid w:val="00761394"/>
    <w:rsid w:val="00764295"/>
    <w:rsid w:val="00766B72"/>
    <w:rsid w:val="00770596"/>
    <w:rsid w:val="0077218E"/>
    <w:rsid w:val="00773280"/>
    <w:rsid w:val="00773CAA"/>
    <w:rsid w:val="00776932"/>
    <w:rsid w:val="007774AB"/>
    <w:rsid w:val="007905AE"/>
    <w:rsid w:val="007A209E"/>
    <w:rsid w:val="007A2331"/>
    <w:rsid w:val="007A6EF2"/>
    <w:rsid w:val="007A7C48"/>
    <w:rsid w:val="007B2576"/>
    <w:rsid w:val="007B41E5"/>
    <w:rsid w:val="007B4EC7"/>
    <w:rsid w:val="007B500D"/>
    <w:rsid w:val="007B7480"/>
    <w:rsid w:val="007C3C9D"/>
    <w:rsid w:val="007C7329"/>
    <w:rsid w:val="007C7CEA"/>
    <w:rsid w:val="007D0C14"/>
    <w:rsid w:val="007D1099"/>
    <w:rsid w:val="007D1DF8"/>
    <w:rsid w:val="007D3372"/>
    <w:rsid w:val="007D7B0A"/>
    <w:rsid w:val="007D7F43"/>
    <w:rsid w:val="007E5768"/>
    <w:rsid w:val="007E638A"/>
    <w:rsid w:val="007E6916"/>
    <w:rsid w:val="007F2232"/>
    <w:rsid w:val="007F273E"/>
    <w:rsid w:val="007F3997"/>
    <w:rsid w:val="007F5470"/>
    <w:rsid w:val="0080096A"/>
    <w:rsid w:val="0080448D"/>
    <w:rsid w:val="008077A2"/>
    <w:rsid w:val="00810122"/>
    <w:rsid w:val="008111D3"/>
    <w:rsid w:val="00812F8B"/>
    <w:rsid w:val="00816365"/>
    <w:rsid w:val="00816456"/>
    <w:rsid w:val="00817787"/>
    <w:rsid w:val="008201AA"/>
    <w:rsid w:val="00821CD0"/>
    <w:rsid w:val="00824EE6"/>
    <w:rsid w:val="00827117"/>
    <w:rsid w:val="0083002B"/>
    <w:rsid w:val="00831113"/>
    <w:rsid w:val="00833440"/>
    <w:rsid w:val="00835383"/>
    <w:rsid w:val="0084011F"/>
    <w:rsid w:val="00840EC8"/>
    <w:rsid w:val="00841345"/>
    <w:rsid w:val="008416A9"/>
    <w:rsid w:val="0084573A"/>
    <w:rsid w:val="00845B4F"/>
    <w:rsid w:val="00847BAE"/>
    <w:rsid w:val="008508DE"/>
    <w:rsid w:val="008516CD"/>
    <w:rsid w:val="008519EA"/>
    <w:rsid w:val="00852E0D"/>
    <w:rsid w:val="00853DF7"/>
    <w:rsid w:val="008554AA"/>
    <w:rsid w:val="00857F39"/>
    <w:rsid w:val="008600F5"/>
    <w:rsid w:val="00860BB4"/>
    <w:rsid w:val="00864189"/>
    <w:rsid w:val="008652E5"/>
    <w:rsid w:val="008714A5"/>
    <w:rsid w:val="00872732"/>
    <w:rsid w:val="008729D4"/>
    <w:rsid w:val="008757FC"/>
    <w:rsid w:val="00876DD0"/>
    <w:rsid w:val="00877FF1"/>
    <w:rsid w:val="00883400"/>
    <w:rsid w:val="00883578"/>
    <w:rsid w:val="00885D22"/>
    <w:rsid w:val="00887EDB"/>
    <w:rsid w:val="008907E7"/>
    <w:rsid w:val="008965B7"/>
    <w:rsid w:val="00896728"/>
    <w:rsid w:val="00897FB8"/>
    <w:rsid w:val="008A3491"/>
    <w:rsid w:val="008A3948"/>
    <w:rsid w:val="008A51E7"/>
    <w:rsid w:val="008A712E"/>
    <w:rsid w:val="008B1931"/>
    <w:rsid w:val="008B1DB3"/>
    <w:rsid w:val="008B1EDB"/>
    <w:rsid w:val="008B4154"/>
    <w:rsid w:val="008B42D8"/>
    <w:rsid w:val="008B4F8C"/>
    <w:rsid w:val="008B5C15"/>
    <w:rsid w:val="008B7AF4"/>
    <w:rsid w:val="008C09A1"/>
    <w:rsid w:val="008C491A"/>
    <w:rsid w:val="008C6FBD"/>
    <w:rsid w:val="008C73D8"/>
    <w:rsid w:val="008D40E8"/>
    <w:rsid w:val="008D4481"/>
    <w:rsid w:val="008D567D"/>
    <w:rsid w:val="008D5DC3"/>
    <w:rsid w:val="008D6712"/>
    <w:rsid w:val="008D78A2"/>
    <w:rsid w:val="008E0649"/>
    <w:rsid w:val="008E1AD5"/>
    <w:rsid w:val="008E2375"/>
    <w:rsid w:val="008E30E9"/>
    <w:rsid w:val="008E3BB7"/>
    <w:rsid w:val="008F2407"/>
    <w:rsid w:val="008F3C63"/>
    <w:rsid w:val="00905CF3"/>
    <w:rsid w:val="009074A5"/>
    <w:rsid w:val="00920B10"/>
    <w:rsid w:val="009215E2"/>
    <w:rsid w:val="009224A7"/>
    <w:rsid w:val="00924887"/>
    <w:rsid w:val="00926199"/>
    <w:rsid w:val="009277E0"/>
    <w:rsid w:val="00930A0E"/>
    <w:rsid w:val="00932016"/>
    <w:rsid w:val="00932F02"/>
    <w:rsid w:val="009340CD"/>
    <w:rsid w:val="009342DD"/>
    <w:rsid w:val="00936B2B"/>
    <w:rsid w:val="009379A4"/>
    <w:rsid w:val="00942B82"/>
    <w:rsid w:val="0094484D"/>
    <w:rsid w:val="0094572C"/>
    <w:rsid w:val="00945E32"/>
    <w:rsid w:val="00950270"/>
    <w:rsid w:val="00950EF8"/>
    <w:rsid w:val="00951B0A"/>
    <w:rsid w:val="00954781"/>
    <w:rsid w:val="00954E87"/>
    <w:rsid w:val="0095532E"/>
    <w:rsid w:val="00962C41"/>
    <w:rsid w:val="00963C83"/>
    <w:rsid w:val="00966D88"/>
    <w:rsid w:val="0097090F"/>
    <w:rsid w:val="009737FE"/>
    <w:rsid w:val="009810D6"/>
    <w:rsid w:val="00981A77"/>
    <w:rsid w:val="00987407"/>
    <w:rsid w:val="009877B9"/>
    <w:rsid w:val="00987983"/>
    <w:rsid w:val="00992AE0"/>
    <w:rsid w:val="0099405B"/>
    <w:rsid w:val="00995857"/>
    <w:rsid w:val="009A0CEE"/>
    <w:rsid w:val="009A132B"/>
    <w:rsid w:val="009A1408"/>
    <w:rsid w:val="009A40DF"/>
    <w:rsid w:val="009A7083"/>
    <w:rsid w:val="009A7D01"/>
    <w:rsid w:val="009B78D1"/>
    <w:rsid w:val="009B7E49"/>
    <w:rsid w:val="009C09C9"/>
    <w:rsid w:val="009C330A"/>
    <w:rsid w:val="009C4CA2"/>
    <w:rsid w:val="009C57F5"/>
    <w:rsid w:val="009C6978"/>
    <w:rsid w:val="009C7191"/>
    <w:rsid w:val="009D0067"/>
    <w:rsid w:val="009D4D60"/>
    <w:rsid w:val="009E125E"/>
    <w:rsid w:val="009E355D"/>
    <w:rsid w:val="009E40A5"/>
    <w:rsid w:val="009E4B7A"/>
    <w:rsid w:val="009F0573"/>
    <w:rsid w:val="009F18E3"/>
    <w:rsid w:val="009F2635"/>
    <w:rsid w:val="009F3881"/>
    <w:rsid w:val="009F3A19"/>
    <w:rsid w:val="009F5017"/>
    <w:rsid w:val="009F7786"/>
    <w:rsid w:val="00A006FE"/>
    <w:rsid w:val="00A015F0"/>
    <w:rsid w:val="00A01F37"/>
    <w:rsid w:val="00A02629"/>
    <w:rsid w:val="00A02D33"/>
    <w:rsid w:val="00A03578"/>
    <w:rsid w:val="00A03671"/>
    <w:rsid w:val="00A102D1"/>
    <w:rsid w:val="00A1083C"/>
    <w:rsid w:val="00A10B7D"/>
    <w:rsid w:val="00A11635"/>
    <w:rsid w:val="00A15FAD"/>
    <w:rsid w:val="00A17944"/>
    <w:rsid w:val="00A2004D"/>
    <w:rsid w:val="00A23DAB"/>
    <w:rsid w:val="00A27EA8"/>
    <w:rsid w:val="00A314C6"/>
    <w:rsid w:val="00A340F1"/>
    <w:rsid w:val="00A35B15"/>
    <w:rsid w:val="00A3752C"/>
    <w:rsid w:val="00A45FFE"/>
    <w:rsid w:val="00A4789E"/>
    <w:rsid w:val="00A51E2F"/>
    <w:rsid w:val="00A55E50"/>
    <w:rsid w:val="00A570DA"/>
    <w:rsid w:val="00A57B90"/>
    <w:rsid w:val="00A6161F"/>
    <w:rsid w:val="00A61A3B"/>
    <w:rsid w:val="00A62852"/>
    <w:rsid w:val="00A647A4"/>
    <w:rsid w:val="00A66ABB"/>
    <w:rsid w:val="00A71AA6"/>
    <w:rsid w:val="00A73877"/>
    <w:rsid w:val="00A80AD7"/>
    <w:rsid w:val="00A80B90"/>
    <w:rsid w:val="00A84AD0"/>
    <w:rsid w:val="00A85836"/>
    <w:rsid w:val="00A86032"/>
    <w:rsid w:val="00A87A66"/>
    <w:rsid w:val="00A96377"/>
    <w:rsid w:val="00A97B1C"/>
    <w:rsid w:val="00AA15E1"/>
    <w:rsid w:val="00AA1859"/>
    <w:rsid w:val="00AA23C7"/>
    <w:rsid w:val="00AA59C6"/>
    <w:rsid w:val="00AA72B3"/>
    <w:rsid w:val="00AA7DB9"/>
    <w:rsid w:val="00AB06E0"/>
    <w:rsid w:val="00AB18DE"/>
    <w:rsid w:val="00AB26CE"/>
    <w:rsid w:val="00AC1B81"/>
    <w:rsid w:val="00AC4EF2"/>
    <w:rsid w:val="00AC5F78"/>
    <w:rsid w:val="00AC7BB2"/>
    <w:rsid w:val="00AD2804"/>
    <w:rsid w:val="00AD3E99"/>
    <w:rsid w:val="00AD450C"/>
    <w:rsid w:val="00AD5D31"/>
    <w:rsid w:val="00AD7760"/>
    <w:rsid w:val="00AE2A42"/>
    <w:rsid w:val="00AE5531"/>
    <w:rsid w:val="00AE682A"/>
    <w:rsid w:val="00AF21C3"/>
    <w:rsid w:val="00AF5E10"/>
    <w:rsid w:val="00AF5E3D"/>
    <w:rsid w:val="00AF6DE8"/>
    <w:rsid w:val="00B0225D"/>
    <w:rsid w:val="00B030FB"/>
    <w:rsid w:val="00B04669"/>
    <w:rsid w:val="00B04DA1"/>
    <w:rsid w:val="00B06004"/>
    <w:rsid w:val="00B069E0"/>
    <w:rsid w:val="00B06C84"/>
    <w:rsid w:val="00B10B39"/>
    <w:rsid w:val="00B1189E"/>
    <w:rsid w:val="00B12268"/>
    <w:rsid w:val="00B12D80"/>
    <w:rsid w:val="00B132FD"/>
    <w:rsid w:val="00B13FAE"/>
    <w:rsid w:val="00B14D7E"/>
    <w:rsid w:val="00B15496"/>
    <w:rsid w:val="00B20DD0"/>
    <w:rsid w:val="00B211F2"/>
    <w:rsid w:val="00B25325"/>
    <w:rsid w:val="00B254F6"/>
    <w:rsid w:val="00B25714"/>
    <w:rsid w:val="00B32BD2"/>
    <w:rsid w:val="00B33A8C"/>
    <w:rsid w:val="00B41E68"/>
    <w:rsid w:val="00B439F5"/>
    <w:rsid w:val="00B43DAD"/>
    <w:rsid w:val="00B454D1"/>
    <w:rsid w:val="00B50F94"/>
    <w:rsid w:val="00B52458"/>
    <w:rsid w:val="00B52635"/>
    <w:rsid w:val="00B52E3D"/>
    <w:rsid w:val="00B53091"/>
    <w:rsid w:val="00B6306C"/>
    <w:rsid w:val="00B63441"/>
    <w:rsid w:val="00B6462C"/>
    <w:rsid w:val="00B65310"/>
    <w:rsid w:val="00B703B5"/>
    <w:rsid w:val="00B706AD"/>
    <w:rsid w:val="00B7089E"/>
    <w:rsid w:val="00B70B89"/>
    <w:rsid w:val="00B73005"/>
    <w:rsid w:val="00B73B63"/>
    <w:rsid w:val="00B73FC8"/>
    <w:rsid w:val="00B753A6"/>
    <w:rsid w:val="00B81925"/>
    <w:rsid w:val="00B834CA"/>
    <w:rsid w:val="00B85A25"/>
    <w:rsid w:val="00B87749"/>
    <w:rsid w:val="00B900BF"/>
    <w:rsid w:val="00B91171"/>
    <w:rsid w:val="00B91579"/>
    <w:rsid w:val="00B950FC"/>
    <w:rsid w:val="00B95E70"/>
    <w:rsid w:val="00B96440"/>
    <w:rsid w:val="00BA032B"/>
    <w:rsid w:val="00BA17AE"/>
    <w:rsid w:val="00BA1BDE"/>
    <w:rsid w:val="00BA5AE9"/>
    <w:rsid w:val="00BB49B7"/>
    <w:rsid w:val="00BB66B8"/>
    <w:rsid w:val="00BB73E4"/>
    <w:rsid w:val="00BC0AE8"/>
    <w:rsid w:val="00BC77E8"/>
    <w:rsid w:val="00BD3E7C"/>
    <w:rsid w:val="00BE1146"/>
    <w:rsid w:val="00BE1F3F"/>
    <w:rsid w:val="00BE5EB7"/>
    <w:rsid w:val="00BF093D"/>
    <w:rsid w:val="00BF131B"/>
    <w:rsid w:val="00BF1FFF"/>
    <w:rsid w:val="00BF3B03"/>
    <w:rsid w:val="00BF3DA7"/>
    <w:rsid w:val="00BF3EE2"/>
    <w:rsid w:val="00C00A62"/>
    <w:rsid w:val="00C014DC"/>
    <w:rsid w:val="00C025DA"/>
    <w:rsid w:val="00C02E8B"/>
    <w:rsid w:val="00C03196"/>
    <w:rsid w:val="00C0361D"/>
    <w:rsid w:val="00C059D9"/>
    <w:rsid w:val="00C076DA"/>
    <w:rsid w:val="00C076F0"/>
    <w:rsid w:val="00C10364"/>
    <w:rsid w:val="00C15066"/>
    <w:rsid w:val="00C20AF3"/>
    <w:rsid w:val="00C222CE"/>
    <w:rsid w:val="00C22893"/>
    <w:rsid w:val="00C22D3F"/>
    <w:rsid w:val="00C35107"/>
    <w:rsid w:val="00C3655D"/>
    <w:rsid w:val="00C373D4"/>
    <w:rsid w:val="00C40681"/>
    <w:rsid w:val="00C43A67"/>
    <w:rsid w:val="00C44715"/>
    <w:rsid w:val="00C4501B"/>
    <w:rsid w:val="00C45330"/>
    <w:rsid w:val="00C469C7"/>
    <w:rsid w:val="00C46CF4"/>
    <w:rsid w:val="00C54408"/>
    <w:rsid w:val="00C54A08"/>
    <w:rsid w:val="00C60A78"/>
    <w:rsid w:val="00C615CA"/>
    <w:rsid w:val="00C62399"/>
    <w:rsid w:val="00C628F3"/>
    <w:rsid w:val="00C6454F"/>
    <w:rsid w:val="00C66B1E"/>
    <w:rsid w:val="00C75502"/>
    <w:rsid w:val="00C83BC0"/>
    <w:rsid w:val="00C85709"/>
    <w:rsid w:val="00C86FB2"/>
    <w:rsid w:val="00C87C30"/>
    <w:rsid w:val="00C90238"/>
    <w:rsid w:val="00C95259"/>
    <w:rsid w:val="00C96A15"/>
    <w:rsid w:val="00C972BF"/>
    <w:rsid w:val="00CA2870"/>
    <w:rsid w:val="00CA2A84"/>
    <w:rsid w:val="00CA32A9"/>
    <w:rsid w:val="00CA3E07"/>
    <w:rsid w:val="00CA5CCD"/>
    <w:rsid w:val="00CA77F8"/>
    <w:rsid w:val="00CB0527"/>
    <w:rsid w:val="00CB2325"/>
    <w:rsid w:val="00CB7026"/>
    <w:rsid w:val="00CB78BE"/>
    <w:rsid w:val="00CB7FBC"/>
    <w:rsid w:val="00CC0E7B"/>
    <w:rsid w:val="00CC2984"/>
    <w:rsid w:val="00CC2FC5"/>
    <w:rsid w:val="00CC30D3"/>
    <w:rsid w:val="00CC4222"/>
    <w:rsid w:val="00CD18DA"/>
    <w:rsid w:val="00CD378C"/>
    <w:rsid w:val="00CD40A8"/>
    <w:rsid w:val="00CD5149"/>
    <w:rsid w:val="00CD5C16"/>
    <w:rsid w:val="00CD5E73"/>
    <w:rsid w:val="00CE1F11"/>
    <w:rsid w:val="00CE3D80"/>
    <w:rsid w:val="00CE49FD"/>
    <w:rsid w:val="00CE662D"/>
    <w:rsid w:val="00CF3117"/>
    <w:rsid w:val="00CF3AB3"/>
    <w:rsid w:val="00CF4D46"/>
    <w:rsid w:val="00CF55D1"/>
    <w:rsid w:val="00CF59D4"/>
    <w:rsid w:val="00D00E86"/>
    <w:rsid w:val="00D023D3"/>
    <w:rsid w:val="00D05D6C"/>
    <w:rsid w:val="00D10863"/>
    <w:rsid w:val="00D12F70"/>
    <w:rsid w:val="00D14C80"/>
    <w:rsid w:val="00D15C7E"/>
    <w:rsid w:val="00D228D1"/>
    <w:rsid w:val="00D233BD"/>
    <w:rsid w:val="00D25F63"/>
    <w:rsid w:val="00D261CB"/>
    <w:rsid w:val="00D262F6"/>
    <w:rsid w:val="00D2782F"/>
    <w:rsid w:val="00D32733"/>
    <w:rsid w:val="00D3438F"/>
    <w:rsid w:val="00D3550C"/>
    <w:rsid w:val="00D36D5C"/>
    <w:rsid w:val="00D40A85"/>
    <w:rsid w:val="00D42891"/>
    <w:rsid w:val="00D434F8"/>
    <w:rsid w:val="00D47168"/>
    <w:rsid w:val="00D5220C"/>
    <w:rsid w:val="00D52D75"/>
    <w:rsid w:val="00D539B9"/>
    <w:rsid w:val="00D57BFF"/>
    <w:rsid w:val="00D604A2"/>
    <w:rsid w:val="00D6204B"/>
    <w:rsid w:val="00D6214A"/>
    <w:rsid w:val="00D6309F"/>
    <w:rsid w:val="00D63871"/>
    <w:rsid w:val="00D67DA3"/>
    <w:rsid w:val="00D71699"/>
    <w:rsid w:val="00D7185A"/>
    <w:rsid w:val="00D71D6B"/>
    <w:rsid w:val="00D72A19"/>
    <w:rsid w:val="00D7343E"/>
    <w:rsid w:val="00D73DBA"/>
    <w:rsid w:val="00D776A9"/>
    <w:rsid w:val="00D807D4"/>
    <w:rsid w:val="00D82BA8"/>
    <w:rsid w:val="00D844E5"/>
    <w:rsid w:val="00D86F54"/>
    <w:rsid w:val="00D874E1"/>
    <w:rsid w:val="00D93233"/>
    <w:rsid w:val="00D939E7"/>
    <w:rsid w:val="00D976B7"/>
    <w:rsid w:val="00DA21FB"/>
    <w:rsid w:val="00DB0C63"/>
    <w:rsid w:val="00DB25D8"/>
    <w:rsid w:val="00DB3956"/>
    <w:rsid w:val="00DC65E6"/>
    <w:rsid w:val="00DC7958"/>
    <w:rsid w:val="00DD0426"/>
    <w:rsid w:val="00DD3E46"/>
    <w:rsid w:val="00DD7F66"/>
    <w:rsid w:val="00DE19A0"/>
    <w:rsid w:val="00DE4487"/>
    <w:rsid w:val="00DE628A"/>
    <w:rsid w:val="00DE6953"/>
    <w:rsid w:val="00DE78AB"/>
    <w:rsid w:val="00DF22A9"/>
    <w:rsid w:val="00DF31BC"/>
    <w:rsid w:val="00DF674B"/>
    <w:rsid w:val="00DF71D7"/>
    <w:rsid w:val="00DF7CAE"/>
    <w:rsid w:val="00E018CD"/>
    <w:rsid w:val="00E0443A"/>
    <w:rsid w:val="00E07303"/>
    <w:rsid w:val="00E12B86"/>
    <w:rsid w:val="00E13CFC"/>
    <w:rsid w:val="00E14FAD"/>
    <w:rsid w:val="00E16B98"/>
    <w:rsid w:val="00E175C6"/>
    <w:rsid w:val="00E22450"/>
    <w:rsid w:val="00E247AD"/>
    <w:rsid w:val="00E27D16"/>
    <w:rsid w:val="00E33CD7"/>
    <w:rsid w:val="00E352B2"/>
    <w:rsid w:val="00E3731F"/>
    <w:rsid w:val="00E45A84"/>
    <w:rsid w:val="00E47D5B"/>
    <w:rsid w:val="00E52A20"/>
    <w:rsid w:val="00E62AA9"/>
    <w:rsid w:val="00E64453"/>
    <w:rsid w:val="00E647C7"/>
    <w:rsid w:val="00E64992"/>
    <w:rsid w:val="00E7167B"/>
    <w:rsid w:val="00E71C98"/>
    <w:rsid w:val="00E72841"/>
    <w:rsid w:val="00E72F74"/>
    <w:rsid w:val="00E74222"/>
    <w:rsid w:val="00E776B3"/>
    <w:rsid w:val="00E7785C"/>
    <w:rsid w:val="00E92A12"/>
    <w:rsid w:val="00E936E6"/>
    <w:rsid w:val="00EA0489"/>
    <w:rsid w:val="00EA281A"/>
    <w:rsid w:val="00EA3A46"/>
    <w:rsid w:val="00EA3AFB"/>
    <w:rsid w:val="00EA43E4"/>
    <w:rsid w:val="00EA7965"/>
    <w:rsid w:val="00EB3DFF"/>
    <w:rsid w:val="00EC09C5"/>
    <w:rsid w:val="00EC4193"/>
    <w:rsid w:val="00EC45A5"/>
    <w:rsid w:val="00EC5A44"/>
    <w:rsid w:val="00EC7BB9"/>
    <w:rsid w:val="00ED176B"/>
    <w:rsid w:val="00ED17C9"/>
    <w:rsid w:val="00ED690B"/>
    <w:rsid w:val="00ED78AD"/>
    <w:rsid w:val="00ED7A02"/>
    <w:rsid w:val="00EE20ED"/>
    <w:rsid w:val="00EE3F10"/>
    <w:rsid w:val="00EE48A2"/>
    <w:rsid w:val="00EE4990"/>
    <w:rsid w:val="00EE7E32"/>
    <w:rsid w:val="00EF0DC7"/>
    <w:rsid w:val="00EF479B"/>
    <w:rsid w:val="00F00941"/>
    <w:rsid w:val="00F01393"/>
    <w:rsid w:val="00F01D2F"/>
    <w:rsid w:val="00F041CB"/>
    <w:rsid w:val="00F05A61"/>
    <w:rsid w:val="00F06EDC"/>
    <w:rsid w:val="00F10059"/>
    <w:rsid w:val="00F12543"/>
    <w:rsid w:val="00F12AC2"/>
    <w:rsid w:val="00F14A97"/>
    <w:rsid w:val="00F1768E"/>
    <w:rsid w:val="00F17AE0"/>
    <w:rsid w:val="00F20B93"/>
    <w:rsid w:val="00F22B4F"/>
    <w:rsid w:val="00F25AC4"/>
    <w:rsid w:val="00F25B1B"/>
    <w:rsid w:val="00F3166A"/>
    <w:rsid w:val="00F348B3"/>
    <w:rsid w:val="00F35F2D"/>
    <w:rsid w:val="00F3792F"/>
    <w:rsid w:val="00F40318"/>
    <w:rsid w:val="00F46B8F"/>
    <w:rsid w:val="00F46E69"/>
    <w:rsid w:val="00F50C98"/>
    <w:rsid w:val="00F51084"/>
    <w:rsid w:val="00F51361"/>
    <w:rsid w:val="00F51C1B"/>
    <w:rsid w:val="00F51CF5"/>
    <w:rsid w:val="00F55B1F"/>
    <w:rsid w:val="00F61A0F"/>
    <w:rsid w:val="00F6244D"/>
    <w:rsid w:val="00F73001"/>
    <w:rsid w:val="00F745D5"/>
    <w:rsid w:val="00F75027"/>
    <w:rsid w:val="00F75A88"/>
    <w:rsid w:val="00F818FA"/>
    <w:rsid w:val="00F83139"/>
    <w:rsid w:val="00F8728A"/>
    <w:rsid w:val="00F91109"/>
    <w:rsid w:val="00F92BF4"/>
    <w:rsid w:val="00F93123"/>
    <w:rsid w:val="00F953D4"/>
    <w:rsid w:val="00F96405"/>
    <w:rsid w:val="00FA08F4"/>
    <w:rsid w:val="00FA216C"/>
    <w:rsid w:val="00FA25B8"/>
    <w:rsid w:val="00FA512A"/>
    <w:rsid w:val="00FA6CEF"/>
    <w:rsid w:val="00FA6F67"/>
    <w:rsid w:val="00FB060C"/>
    <w:rsid w:val="00FB28A5"/>
    <w:rsid w:val="00FB417A"/>
    <w:rsid w:val="00FB5CF4"/>
    <w:rsid w:val="00FB7A07"/>
    <w:rsid w:val="00FB7C19"/>
    <w:rsid w:val="00FC16A7"/>
    <w:rsid w:val="00FC1F5B"/>
    <w:rsid w:val="00FC35D3"/>
    <w:rsid w:val="00FC4D5E"/>
    <w:rsid w:val="00FC7170"/>
    <w:rsid w:val="00FC7EFE"/>
    <w:rsid w:val="00FE00A7"/>
    <w:rsid w:val="00FE0DEC"/>
    <w:rsid w:val="00FE25AC"/>
    <w:rsid w:val="00FE4CC4"/>
    <w:rsid w:val="00FF014E"/>
    <w:rsid w:val="00FF1CB1"/>
    <w:rsid w:val="00FF29A4"/>
    <w:rsid w:val="00FF2D73"/>
    <w:rsid w:val="00FF2E2E"/>
    <w:rsid w:val="00FF32C4"/>
    <w:rsid w:val="00FF4F6C"/>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3F37"/>
  <w15:chartTrackingRefBased/>
  <w15:docId w15:val="{1E502CD9-A66D-B84F-9E5B-03079E04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8C491A"/>
    <w:pPr>
      <w:spacing w:after="120"/>
      <w:ind w:left="360"/>
    </w:pPr>
    <w:rPr>
      <w:rFonts w:ascii="Times New Roman" w:eastAsia="PMingLiU" w:hAnsi="Times New Roman" w:cstheme="minorHAnsi"/>
      <w:b/>
      <w:bCs/>
    </w:rPr>
  </w:style>
  <w:style w:type="character" w:customStyle="1" w:styleId="BodyTextChar">
    <w:name w:val="Body Text Char"/>
    <w:basedOn w:val="DefaultParagraphFont"/>
    <w:link w:val="BodyText"/>
    <w:uiPriority w:val="1"/>
    <w:rsid w:val="008C491A"/>
    <w:rPr>
      <w:rFonts w:ascii="Times New Roman" w:eastAsia="PMingLiU" w:hAnsi="Times New Roman" w:cstheme="minorHAnsi"/>
      <w:b/>
      <w:bCs/>
    </w:rPr>
  </w:style>
  <w:style w:type="numbering" w:styleId="111111">
    <w:name w:val="Outline List 2"/>
    <w:basedOn w:val="NoList"/>
    <w:uiPriority w:val="99"/>
    <w:semiHidden/>
    <w:unhideWhenUsed/>
    <w:rsid w:val="003F23CD"/>
    <w:pPr>
      <w:numPr>
        <w:numId w:val="2"/>
      </w:numPr>
    </w:pPr>
  </w:style>
  <w:style w:type="paragraph" w:styleId="ListParagraph">
    <w:name w:val="List Paragraph"/>
    <w:basedOn w:val="Normal"/>
    <w:uiPriority w:val="34"/>
    <w:qFormat/>
    <w:rsid w:val="0044131A"/>
    <w:pPr>
      <w:ind w:left="720"/>
      <w:contextualSpacing/>
    </w:pPr>
  </w:style>
  <w:style w:type="character" w:styleId="Hyperlink">
    <w:name w:val="Hyperlink"/>
    <w:basedOn w:val="DefaultParagraphFont"/>
    <w:uiPriority w:val="99"/>
    <w:unhideWhenUsed/>
    <w:rsid w:val="00A314C6"/>
    <w:rPr>
      <w:color w:val="0563C1" w:themeColor="hyperlink"/>
      <w:u w:val="single"/>
    </w:rPr>
  </w:style>
  <w:style w:type="character" w:styleId="UnresolvedMention">
    <w:name w:val="Unresolved Mention"/>
    <w:basedOn w:val="DefaultParagraphFont"/>
    <w:uiPriority w:val="99"/>
    <w:semiHidden/>
    <w:unhideWhenUsed/>
    <w:rsid w:val="00A314C6"/>
    <w:rPr>
      <w:color w:val="605E5C"/>
      <w:shd w:val="clear" w:color="auto" w:fill="E1DFDD"/>
    </w:rPr>
  </w:style>
  <w:style w:type="table" w:styleId="TableGrid">
    <w:name w:val="Table Grid"/>
    <w:basedOn w:val="TableNormal"/>
    <w:uiPriority w:val="39"/>
    <w:rsid w:val="0069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2A20"/>
    <w:rPr>
      <w:sz w:val="20"/>
      <w:szCs w:val="20"/>
    </w:rPr>
  </w:style>
  <w:style w:type="character" w:customStyle="1" w:styleId="FootnoteTextChar">
    <w:name w:val="Footnote Text Char"/>
    <w:basedOn w:val="DefaultParagraphFont"/>
    <w:link w:val="FootnoteText"/>
    <w:uiPriority w:val="99"/>
    <w:semiHidden/>
    <w:rsid w:val="00E52A20"/>
    <w:rPr>
      <w:sz w:val="20"/>
      <w:szCs w:val="20"/>
    </w:rPr>
  </w:style>
  <w:style w:type="character" w:styleId="FootnoteReference">
    <w:name w:val="footnote reference"/>
    <w:basedOn w:val="DefaultParagraphFont"/>
    <w:uiPriority w:val="99"/>
    <w:semiHidden/>
    <w:unhideWhenUsed/>
    <w:rsid w:val="00E52A20"/>
    <w:rPr>
      <w:vertAlign w:val="superscript"/>
    </w:rPr>
  </w:style>
  <w:style w:type="character" w:styleId="CommentReference">
    <w:name w:val="annotation reference"/>
    <w:basedOn w:val="DefaultParagraphFont"/>
    <w:uiPriority w:val="99"/>
    <w:semiHidden/>
    <w:unhideWhenUsed/>
    <w:rsid w:val="00D2782F"/>
    <w:rPr>
      <w:sz w:val="16"/>
      <w:szCs w:val="16"/>
    </w:rPr>
  </w:style>
  <w:style w:type="paragraph" w:styleId="CommentText">
    <w:name w:val="annotation text"/>
    <w:basedOn w:val="Normal"/>
    <w:link w:val="CommentTextChar"/>
    <w:uiPriority w:val="99"/>
    <w:semiHidden/>
    <w:unhideWhenUsed/>
    <w:rsid w:val="00D2782F"/>
    <w:rPr>
      <w:sz w:val="20"/>
      <w:szCs w:val="20"/>
    </w:rPr>
  </w:style>
  <w:style w:type="character" w:customStyle="1" w:styleId="CommentTextChar">
    <w:name w:val="Comment Text Char"/>
    <w:basedOn w:val="DefaultParagraphFont"/>
    <w:link w:val="CommentText"/>
    <w:uiPriority w:val="99"/>
    <w:semiHidden/>
    <w:rsid w:val="00D2782F"/>
    <w:rPr>
      <w:sz w:val="20"/>
      <w:szCs w:val="20"/>
    </w:rPr>
  </w:style>
  <w:style w:type="paragraph" w:styleId="CommentSubject">
    <w:name w:val="annotation subject"/>
    <w:basedOn w:val="CommentText"/>
    <w:next w:val="CommentText"/>
    <w:link w:val="CommentSubjectChar"/>
    <w:uiPriority w:val="99"/>
    <w:semiHidden/>
    <w:unhideWhenUsed/>
    <w:rsid w:val="00D2782F"/>
    <w:rPr>
      <w:b/>
      <w:bCs/>
    </w:rPr>
  </w:style>
  <w:style w:type="character" w:customStyle="1" w:styleId="CommentSubjectChar">
    <w:name w:val="Comment Subject Char"/>
    <w:basedOn w:val="CommentTextChar"/>
    <w:link w:val="CommentSubject"/>
    <w:uiPriority w:val="99"/>
    <w:semiHidden/>
    <w:rsid w:val="00D278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gis.water.ca.gov/app/dac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galert.com/story/?id=15580" TargetMode="External"/><Relationship Id="rId2" Type="http://schemas.openxmlformats.org/officeDocument/2006/relationships/hyperlink" Target="https://www.waterboards.ca.gov/press_room/press_releases/2021/pr09132021-scott-shasta-curtailments.pdf" TargetMode="External"/><Relationship Id="rId1" Type="http://schemas.openxmlformats.org/officeDocument/2006/relationships/hyperlink" Target="https://www.drought.gov/states/california/county/Siski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88FF6-A0E7-1B4C-A6E6-ACA11BBC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McNeill</dc:creator>
  <cp:keywords/>
  <dc:description/>
  <cp:lastModifiedBy>Kelsey McNeill</cp:lastModifiedBy>
  <cp:revision>131</cp:revision>
  <dcterms:created xsi:type="dcterms:W3CDTF">2022-03-16T20:21:00Z</dcterms:created>
  <dcterms:modified xsi:type="dcterms:W3CDTF">2022-03-17T00:10:00Z</dcterms:modified>
</cp:coreProperties>
</file>