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7D3C2" w14:textId="77777777" w:rsidR="00B03C77" w:rsidRPr="00B03C77" w:rsidRDefault="00B03C77" w:rsidP="00B95B4F">
      <w:pPr>
        <w:spacing w:before="240" w:after="240"/>
        <w:rPr>
          <w:rFonts w:ascii="Arial" w:hAnsi="Arial" w:cs="Arial"/>
          <w:b/>
          <w:bCs/>
          <w:sz w:val="24"/>
        </w:rPr>
      </w:pPr>
      <w:r w:rsidRPr="00B03C77">
        <w:rPr>
          <w:rFonts w:ascii="Arial" w:hAnsi="Arial" w:cs="Arial"/>
          <w:b/>
          <w:bCs/>
          <w:sz w:val="24"/>
        </w:rPr>
        <w:t>Notations</w:t>
      </w:r>
    </w:p>
    <w:p w14:paraId="4233BEA0" w14:textId="77777777" w:rsidR="00F461B3" w:rsidRPr="002A6512" w:rsidRDefault="004034B0" w:rsidP="002D665A">
      <w:pPr>
        <w:numPr>
          <w:ilvl w:val="0"/>
          <w:numId w:val="21"/>
        </w:numPr>
        <w:tabs>
          <w:tab w:val="clear" w:pos="720"/>
          <w:tab w:val="num" w:pos="540"/>
        </w:tabs>
        <w:spacing w:after="240"/>
        <w:ind w:left="547" w:hanging="547"/>
        <w:rPr>
          <w:rFonts w:ascii="Arial" w:hAnsi="Arial" w:cs="Arial"/>
          <w:sz w:val="22"/>
          <w:szCs w:val="22"/>
        </w:rPr>
      </w:pPr>
      <w:r w:rsidRPr="00F461B3">
        <w:rPr>
          <w:rFonts w:ascii="Arial" w:hAnsi="Arial" w:cs="Arial"/>
          <w:snapToGrid w:val="0"/>
          <w:sz w:val="22"/>
          <w:szCs w:val="22"/>
        </w:rPr>
        <w:t xml:space="preserve">Within ten (10) days following the date of the decision of the </w:t>
      </w:r>
      <w:r w:rsidRPr="002A6512">
        <w:rPr>
          <w:rFonts w:ascii="Arial" w:hAnsi="Arial" w:cs="Arial"/>
          <w:snapToGrid w:val="0"/>
          <w:sz w:val="22"/>
          <w:szCs w:val="22"/>
        </w:rPr>
        <w:t xml:space="preserve">Siskiyou County </w:t>
      </w:r>
      <w:r w:rsidR="00370A05" w:rsidRPr="002A6512">
        <w:rPr>
          <w:rFonts w:ascii="Arial" w:hAnsi="Arial" w:cs="Arial"/>
          <w:snapToGrid w:val="0"/>
          <w:sz w:val="22"/>
          <w:szCs w:val="22"/>
        </w:rPr>
        <w:t>Board of Supervisors</w:t>
      </w:r>
      <w:r w:rsidRPr="002A6512">
        <w:rPr>
          <w:rFonts w:ascii="Arial" w:hAnsi="Arial" w:cs="Arial"/>
          <w:snapToGrid w:val="0"/>
          <w:sz w:val="22"/>
          <w:szCs w:val="22"/>
        </w:rPr>
        <w:t>, the decision may be appealed</w:t>
      </w:r>
      <w:r w:rsidR="00631788" w:rsidRPr="002A6512">
        <w:rPr>
          <w:rFonts w:ascii="Arial" w:hAnsi="Arial" w:cs="Arial"/>
          <w:snapToGrid w:val="0"/>
          <w:sz w:val="22"/>
          <w:szCs w:val="22"/>
        </w:rPr>
        <w:t xml:space="preserve"> to t</w:t>
      </w:r>
      <w:r w:rsidRPr="002A6512">
        <w:rPr>
          <w:rFonts w:ascii="Arial" w:hAnsi="Arial" w:cs="Arial"/>
          <w:snapToGrid w:val="0"/>
          <w:sz w:val="22"/>
          <w:szCs w:val="22"/>
        </w:rPr>
        <w:t xml:space="preserve">he </w:t>
      </w:r>
      <w:r w:rsidR="00370A05" w:rsidRPr="002A6512">
        <w:rPr>
          <w:rFonts w:ascii="Arial" w:hAnsi="Arial" w:cs="Arial"/>
          <w:snapToGrid w:val="0"/>
          <w:sz w:val="22"/>
          <w:szCs w:val="22"/>
        </w:rPr>
        <w:t>Siskiyou County Superior Court.</w:t>
      </w:r>
    </w:p>
    <w:p w14:paraId="5624D16C" w14:textId="77777777" w:rsidR="004C3CE0" w:rsidRPr="00687440" w:rsidRDefault="005625C1" w:rsidP="002D665A">
      <w:pPr>
        <w:pStyle w:val="ListParagraph"/>
        <w:numPr>
          <w:ilvl w:val="0"/>
          <w:numId w:val="21"/>
        </w:numPr>
        <w:tabs>
          <w:tab w:val="clear" w:pos="720"/>
          <w:tab w:val="num" w:pos="540"/>
        </w:tabs>
        <w:spacing w:after="240"/>
        <w:ind w:left="547" w:hanging="547"/>
        <w:rPr>
          <w:rFonts w:ascii="Arial" w:hAnsi="Arial" w:cs="Arial"/>
          <w:snapToGrid w:val="0"/>
          <w:sz w:val="22"/>
          <w:szCs w:val="22"/>
        </w:rPr>
      </w:pPr>
      <w:r>
        <w:rPr>
          <w:rFonts w:ascii="Arial" w:hAnsi="Arial" w:cs="Arial"/>
          <w:sz w:val="22"/>
          <w:szCs w:val="22"/>
        </w:rPr>
        <w:t xml:space="preserve">Upon adoption of the </w:t>
      </w:r>
      <w:r w:rsidR="005269BD">
        <w:rPr>
          <w:rFonts w:ascii="Arial" w:hAnsi="Arial" w:cs="Arial"/>
          <w:sz w:val="22"/>
          <w:szCs w:val="22"/>
        </w:rPr>
        <w:t>CEQA</w:t>
      </w:r>
      <w:r>
        <w:rPr>
          <w:rFonts w:ascii="Arial" w:hAnsi="Arial" w:cs="Arial"/>
          <w:sz w:val="22"/>
          <w:szCs w:val="22"/>
        </w:rPr>
        <w:t xml:space="preserve"> exemption</w:t>
      </w:r>
      <w:r w:rsidR="00B60AD0">
        <w:rPr>
          <w:rFonts w:ascii="Arial" w:hAnsi="Arial" w:cs="Arial"/>
          <w:sz w:val="22"/>
          <w:szCs w:val="22"/>
        </w:rPr>
        <w:t xml:space="preserve"> by the Board of Supervisors</w:t>
      </w:r>
      <w:r>
        <w:rPr>
          <w:rFonts w:ascii="Arial" w:hAnsi="Arial" w:cs="Arial"/>
          <w:sz w:val="22"/>
          <w:szCs w:val="22"/>
        </w:rPr>
        <w:t xml:space="preserve">, a check in the amount of $50 made payable to the Siskiyou County Clerk and submitted to the Siskiyou County Planning Division is necessary </w:t>
      </w:r>
      <w:r w:rsidR="00687440">
        <w:rPr>
          <w:rFonts w:ascii="Arial" w:hAnsi="Arial" w:cs="Arial"/>
          <w:sz w:val="22"/>
          <w:szCs w:val="22"/>
        </w:rPr>
        <w:t>to</w:t>
      </w:r>
      <w:r>
        <w:rPr>
          <w:rFonts w:ascii="Arial" w:hAnsi="Arial" w:cs="Arial"/>
          <w:sz w:val="22"/>
          <w:szCs w:val="22"/>
        </w:rPr>
        <w:t xml:space="preserve"> file the Notice of Exemption. Failure to file the Notice of Exemption extends the statute of limitations for legal challenges to the categorical exemption from 35 to 180 days. </w:t>
      </w:r>
      <w:r w:rsidR="00687440" w:rsidRPr="00687440">
        <w:rPr>
          <w:rFonts w:ascii="Arial" w:hAnsi="Arial" w:cs="Arial"/>
          <w:sz w:val="22"/>
          <w:szCs w:val="22"/>
          <w:u w:val="single"/>
        </w:rPr>
        <w:t>The applicant has the sole responsibility to ensure timely compliance with this condition.</w:t>
      </w:r>
    </w:p>
    <w:p w14:paraId="5D82F925" w14:textId="77777777" w:rsidR="00823A2D" w:rsidRDefault="00823A2D" w:rsidP="002D665A">
      <w:pPr>
        <w:pStyle w:val="ListParagraph"/>
        <w:numPr>
          <w:ilvl w:val="0"/>
          <w:numId w:val="21"/>
        </w:numPr>
        <w:tabs>
          <w:tab w:val="clear" w:pos="720"/>
          <w:tab w:val="num" w:pos="540"/>
        </w:tabs>
        <w:spacing w:after="240"/>
        <w:ind w:left="547" w:hanging="547"/>
        <w:rPr>
          <w:rFonts w:ascii="Arial" w:hAnsi="Arial" w:cs="Arial"/>
          <w:sz w:val="22"/>
          <w:szCs w:val="22"/>
        </w:rPr>
      </w:pPr>
      <w:r>
        <w:rPr>
          <w:rFonts w:ascii="Arial" w:hAnsi="Arial" w:cs="Arial"/>
          <w:sz w:val="22"/>
          <w:szCs w:val="22"/>
        </w:rPr>
        <w:t>If a proposed project will result in the conversion of greater than three (3) acres of timberland to non-timber use, a T</w:t>
      </w:r>
      <w:r w:rsidR="00AA2C1D">
        <w:rPr>
          <w:rFonts w:ascii="Arial" w:hAnsi="Arial" w:cs="Arial"/>
          <w:sz w:val="22"/>
          <w:szCs w:val="22"/>
        </w:rPr>
        <w:t>imberland Conversion Permit (T</w:t>
      </w:r>
      <w:r>
        <w:rPr>
          <w:rFonts w:ascii="Arial" w:hAnsi="Arial" w:cs="Arial"/>
          <w:sz w:val="22"/>
          <w:szCs w:val="22"/>
        </w:rPr>
        <w:t>CP</w:t>
      </w:r>
      <w:r w:rsidR="00AA2C1D">
        <w:rPr>
          <w:rFonts w:ascii="Arial" w:hAnsi="Arial" w:cs="Arial"/>
          <w:sz w:val="22"/>
          <w:szCs w:val="22"/>
        </w:rPr>
        <w:t>)</w:t>
      </w:r>
      <w:r>
        <w:rPr>
          <w:rFonts w:ascii="Arial" w:hAnsi="Arial" w:cs="Arial"/>
          <w:sz w:val="22"/>
          <w:szCs w:val="22"/>
        </w:rPr>
        <w:t xml:space="preserve"> is required prior to undertaking any conversion operations. Provisions and procedures for filing an application for a TCP are found in Article 9, Division 4, Chapter 8 of the Public Resources Code. If the area to be converted is less than three acres, the project may qualify for a “Less Than 3-Acre Conversion Exemption” under 14CCR 1104.</w:t>
      </w:r>
    </w:p>
    <w:p w14:paraId="049CE347" w14:textId="77777777" w:rsidR="00184EE4" w:rsidRPr="00184EE4" w:rsidRDefault="00184EE4" w:rsidP="002D665A">
      <w:pPr>
        <w:keepNext/>
        <w:spacing w:after="240"/>
        <w:ind w:left="3600" w:hanging="3600"/>
        <w:jc w:val="left"/>
        <w:rPr>
          <w:rFonts w:ascii="Arial" w:hAnsi="Arial" w:cs="Arial"/>
          <w:b/>
          <w:bCs/>
          <w:snapToGrid w:val="0"/>
          <w:sz w:val="24"/>
        </w:rPr>
      </w:pPr>
      <w:r w:rsidRPr="00184EE4">
        <w:rPr>
          <w:rFonts w:ascii="Arial" w:hAnsi="Arial" w:cs="Arial"/>
          <w:b/>
          <w:bCs/>
          <w:snapToGrid w:val="0"/>
          <w:sz w:val="24"/>
        </w:rPr>
        <w:t>Conditions of Approval</w:t>
      </w:r>
    </w:p>
    <w:p w14:paraId="11C7BE50" w14:textId="77777777" w:rsidR="00823A2D" w:rsidRDefault="00056C77" w:rsidP="00180C65">
      <w:pPr>
        <w:numPr>
          <w:ilvl w:val="0"/>
          <w:numId w:val="18"/>
        </w:numPr>
        <w:spacing w:after="240"/>
        <w:ind w:left="547" w:hanging="547"/>
        <w:rPr>
          <w:rFonts w:ascii="Arial" w:hAnsi="Arial" w:cs="Arial"/>
          <w:sz w:val="22"/>
          <w:szCs w:val="22"/>
        </w:rPr>
      </w:pPr>
      <w:r>
        <w:rPr>
          <w:rFonts w:ascii="Arial" w:hAnsi="Arial" w:cs="Arial"/>
          <w:sz w:val="22"/>
          <w:szCs w:val="22"/>
        </w:rPr>
        <w:t xml:space="preserve">The project shall substantially conform to the </w:t>
      </w:r>
      <w:r w:rsidR="00AA2C1D">
        <w:rPr>
          <w:rFonts w:ascii="Arial" w:hAnsi="Arial" w:cs="Arial"/>
          <w:sz w:val="22"/>
          <w:szCs w:val="22"/>
        </w:rPr>
        <w:t xml:space="preserve">boundary line adjustment </w:t>
      </w:r>
      <w:r w:rsidR="004427A2">
        <w:rPr>
          <w:rFonts w:ascii="Arial" w:hAnsi="Arial" w:cs="Arial"/>
          <w:sz w:val="22"/>
          <w:szCs w:val="22"/>
        </w:rPr>
        <w:t>recommended for approval</w:t>
      </w:r>
      <w:r>
        <w:rPr>
          <w:rFonts w:ascii="Arial" w:hAnsi="Arial" w:cs="Arial"/>
          <w:sz w:val="22"/>
          <w:szCs w:val="22"/>
        </w:rPr>
        <w:t xml:space="preserve"> by th</w:t>
      </w:r>
      <w:r w:rsidRPr="002A6512">
        <w:rPr>
          <w:rFonts w:ascii="Arial" w:hAnsi="Arial" w:cs="Arial"/>
          <w:sz w:val="22"/>
          <w:szCs w:val="22"/>
        </w:rPr>
        <w:t xml:space="preserve">e Siskiyou County </w:t>
      </w:r>
      <w:r w:rsidR="002A6512" w:rsidRPr="002A6512">
        <w:rPr>
          <w:rFonts w:ascii="Arial" w:hAnsi="Arial" w:cs="Arial"/>
          <w:sz w:val="22"/>
          <w:szCs w:val="22"/>
        </w:rPr>
        <w:t>B</w:t>
      </w:r>
      <w:r w:rsidR="002A6512">
        <w:rPr>
          <w:rFonts w:ascii="Arial" w:hAnsi="Arial" w:cs="Arial"/>
          <w:sz w:val="22"/>
          <w:szCs w:val="22"/>
        </w:rPr>
        <w:t>oard of Supervisors</w:t>
      </w:r>
      <w:r>
        <w:rPr>
          <w:rFonts w:ascii="Arial" w:hAnsi="Arial" w:cs="Arial"/>
          <w:sz w:val="22"/>
          <w:szCs w:val="22"/>
        </w:rPr>
        <w:t xml:space="preserve"> on </w:t>
      </w:r>
      <w:r w:rsidR="004D7678">
        <w:rPr>
          <w:rFonts w:ascii="Arial" w:hAnsi="Arial" w:cs="Arial"/>
          <w:sz w:val="22"/>
          <w:szCs w:val="22"/>
        </w:rPr>
        <w:t>March</w:t>
      </w:r>
      <w:r w:rsidR="00FA4EC3">
        <w:rPr>
          <w:rFonts w:ascii="Arial" w:hAnsi="Arial" w:cs="Arial"/>
          <w:sz w:val="22"/>
          <w:szCs w:val="22"/>
        </w:rPr>
        <w:t xml:space="preserve"> 1</w:t>
      </w:r>
      <w:r w:rsidR="001B3B8B">
        <w:rPr>
          <w:rFonts w:ascii="Arial" w:hAnsi="Arial" w:cs="Arial"/>
          <w:sz w:val="22"/>
          <w:szCs w:val="22"/>
        </w:rPr>
        <w:t>, 2022</w:t>
      </w:r>
      <w:r w:rsidR="004658A6">
        <w:rPr>
          <w:rFonts w:ascii="Arial" w:hAnsi="Arial" w:cs="Arial"/>
          <w:sz w:val="22"/>
          <w:szCs w:val="22"/>
        </w:rPr>
        <w:t>.</w:t>
      </w:r>
      <w:r>
        <w:rPr>
          <w:rFonts w:ascii="Arial" w:hAnsi="Arial" w:cs="Arial"/>
          <w:sz w:val="22"/>
          <w:szCs w:val="22"/>
        </w:rPr>
        <w:t xml:space="preserve"> Any proposed amendment(s) shall be submitted for consideration to the </w:t>
      </w:r>
      <w:r w:rsidR="005269BD">
        <w:rPr>
          <w:rFonts w:ascii="Arial" w:hAnsi="Arial" w:cs="Arial"/>
          <w:sz w:val="22"/>
          <w:szCs w:val="22"/>
        </w:rPr>
        <w:t xml:space="preserve">Planning </w:t>
      </w:r>
      <w:r>
        <w:rPr>
          <w:rFonts w:ascii="Arial" w:hAnsi="Arial" w:cs="Arial"/>
          <w:sz w:val="22"/>
          <w:szCs w:val="22"/>
        </w:rPr>
        <w:t>Director to determine the review process pursuant to the Siskiyou County Code.</w:t>
      </w:r>
    </w:p>
    <w:p w14:paraId="36DCBA49" w14:textId="77777777" w:rsidR="00823A2D" w:rsidRPr="00180C65" w:rsidRDefault="00180C65" w:rsidP="00180C65">
      <w:pPr>
        <w:pStyle w:val="ListParagraph"/>
        <w:numPr>
          <w:ilvl w:val="0"/>
          <w:numId w:val="18"/>
        </w:numPr>
        <w:spacing w:before="120" w:after="240" w:line="259" w:lineRule="auto"/>
        <w:ind w:left="547" w:hanging="547"/>
        <w:jc w:val="left"/>
        <w:rPr>
          <w:rFonts w:ascii="Arial" w:hAnsi="Arial" w:cs="Arial"/>
          <w:sz w:val="22"/>
          <w:szCs w:val="22"/>
        </w:rPr>
      </w:pPr>
      <w:r w:rsidRPr="00180C65">
        <w:rPr>
          <w:rFonts w:ascii="Arial" w:hAnsi="Arial" w:cs="Arial"/>
          <w:sz w:val="22"/>
          <w:szCs w:val="22"/>
        </w:rPr>
        <w:t xml:space="preserve">Approval of the Boundary Line Adjustment </w:t>
      </w:r>
      <w:r w:rsidR="00CC41FD">
        <w:rPr>
          <w:rFonts w:ascii="Arial" w:hAnsi="Arial" w:cs="Arial"/>
          <w:sz w:val="22"/>
          <w:szCs w:val="22"/>
        </w:rPr>
        <w:t xml:space="preserve">requires that </w:t>
      </w:r>
      <w:r w:rsidR="000B591B">
        <w:rPr>
          <w:rFonts w:ascii="Arial" w:hAnsi="Arial" w:cs="Arial"/>
          <w:sz w:val="22"/>
          <w:szCs w:val="22"/>
        </w:rPr>
        <w:t xml:space="preserve">a </w:t>
      </w:r>
      <w:r w:rsidR="00F23C2A">
        <w:rPr>
          <w:rFonts w:ascii="Arial" w:hAnsi="Arial" w:cs="Arial"/>
          <w:sz w:val="22"/>
          <w:szCs w:val="22"/>
        </w:rPr>
        <w:t xml:space="preserve">joint </w:t>
      </w:r>
      <w:r w:rsidR="00294C72">
        <w:rPr>
          <w:rFonts w:ascii="Arial" w:hAnsi="Arial" w:cs="Arial"/>
          <w:sz w:val="22"/>
          <w:szCs w:val="22"/>
        </w:rPr>
        <w:t xml:space="preserve">timber management plan </w:t>
      </w:r>
      <w:r w:rsidR="00CC41FD">
        <w:rPr>
          <w:rFonts w:ascii="Arial" w:hAnsi="Arial" w:cs="Arial"/>
          <w:sz w:val="22"/>
          <w:szCs w:val="22"/>
        </w:rPr>
        <w:t xml:space="preserve">be first recorded as a deed restriction.  The </w:t>
      </w:r>
      <w:r w:rsidR="00F23C2A">
        <w:rPr>
          <w:rFonts w:ascii="Arial" w:hAnsi="Arial" w:cs="Arial"/>
          <w:sz w:val="22"/>
          <w:szCs w:val="22"/>
        </w:rPr>
        <w:t>deed restriction</w:t>
      </w:r>
      <w:r w:rsidR="00CC41FD">
        <w:rPr>
          <w:rFonts w:ascii="Arial" w:hAnsi="Arial" w:cs="Arial"/>
          <w:sz w:val="22"/>
          <w:szCs w:val="22"/>
        </w:rPr>
        <w:t xml:space="preserve"> shall</w:t>
      </w:r>
      <w:r w:rsidR="007B3BE9">
        <w:rPr>
          <w:rFonts w:ascii="Arial" w:hAnsi="Arial" w:cs="Arial"/>
          <w:sz w:val="22"/>
          <w:szCs w:val="22"/>
        </w:rPr>
        <w:t xml:space="preserve"> run with the land </w:t>
      </w:r>
      <w:r w:rsidR="00CC41FD">
        <w:rPr>
          <w:rFonts w:ascii="Arial" w:hAnsi="Arial" w:cs="Arial"/>
          <w:sz w:val="22"/>
          <w:szCs w:val="22"/>
        </w:rPr>
        <w:t xml:space="preserve">rather than with the owners and shall remain in force for a period of not less than </w:t>
      </w:r>
      <w:r w:rsidR="007B3BE9">
        <w:rPr>
          <w:rFonts w:ascii="Arial" w:hAnsi="Arial" w:cs="Arial"/>
          <w:sz w:val="22"/>
          <w:szCs w:val="22"/>
        </w:rPr>
        <w:t xml:space="preserve">ten (10) years </w:t>
      </w:r>
      <w:r w:rsidR="00CC41FD">
        <w:rPr>
          <w:rFonts w:ascii="Arial" w:hAnsi="Arial" w:cs="Arial"/>
          <w:sz w:val="22"/>
          <w:szCs w:val="22"/>
        </w:rPr>
        <w:t>from the date the project is approved by a</w:t>
      </w:r>
      <w:r w:rsidR="00294C72">
        <w:rPr>
          <w:rFonts w:ascii="Arial" w:hAnsi="Arial" w:cs="Arial"/>
          <w:sz w:val="22"/>
          <w:szCs w:val="22"/>
        </w:rPr>
        <w:t xml:space="preserve"> </w:t>
      </w:r>
      <w:r w:rsidR="00E56B5E">
        <w:rPr>
          <w:rFonts w:ascii="Arial" w:hAnsi="Arial" w:cs="Arial"/>
          <w:sz w:val="22"/>
          <w:szCs w:val="22"/>
        </w:rPr>
        <w:t xml:space="preserve">four-fifths vote </w:t>
      </w:r>
      <w:r w:rsidR="0083643D">
        <w:rPr>
          <w:rFonts w:ascii="Arial" w:hAnsi="Arial" w:cs="Arial"/>
          <w:sz w:val="22"/>
          <w:szCs w:val="22"/>
        </w:rPr>
        <w:t>of</w:t>
      </w:r>
      <w:r w:rsidRPr="00180C65">
        <w:rPr>
          <w:rFonts w:ascii="Arial" w:hAnsi="Arial" w:cs="Arial"/>
          <w:sz w:val="22"/>
          <w:szCs w:val="22"/>
        </w:rPr>
        <w:t xml:space="preserve"> the Board of Supervisors. </w:t>
      </w:r>
    </w:p>
    <w:p w14:paraId="4CE35757" w14:textId="77777777" w:rsidR="004B08B1" w:rsidRPr="00C7390C" w:rsidRDefault="004034B0" w:rsidP="00C7390C">
      <w:pPr>
        <w:widowControl w:val="0"/>
        <w:numPr>
          <w:ilvl w:val="0"/>
          <w:numId w:val="18"/>
        </w:numPr>
        <w:tabs>
          <w:tab w:val="left" w:pos="820"/>
        </w:tabs>
        <w:autoSpaceDE w:val="0"/>
        <w:autoSpaceDN w:val="0"/>
        <w:adjustRightInd w:val="0"/>
        <w:ind w:hanging="540"/>
        <w:rPr>
          <w:rFonts w:ascii="Arial" w:hAnsi="Arial" w:cs="Arial"/>
          <w:sz w:val="22"/>
          <w:szCs w:val="22"/>
        </w:rPr>
      </w:pPr>
      <w:r w:rsidRPr="00206403">
        <w:rPr>
          <w:rFonts w:ascii="Arial" w:hAnsi="Arial" w:cs="Arial"/>
          <w:sz w:val="22"/>
          <w:szCs w:val="22"/>
        </w:rPr>
        <w:t xml:space="preserve">The applicant, shall defend, indemnify and hold harmless the County, its agents, officers and employees from any claim, action, or proceeding (collectively, "Action") against the County, its agents (including consultants), officers or employees to attack, set aside, void, or annul the approvals, or any part thereof, or any decision, determination, or Action, made or taken approving, supplementing, or sustaining, the project or any part thereof, or any related approvals or project conditions imposed by the County or any of its agencies, departments, commissions, agents (including consultants), officers or employees, concerning the project, or to impose personal liability against such agents (including consultants), officers or employees resulting from their non-negligent involvement in the project, which action is brought within the time period provided by law, including any claim for private attorney general fees claimed by or awarded to any party from the County. Said responsibilities shall be pursuant to the County’s standard Agreement for Indemnification in effect at the time of application approval or Agreement for Indemnification if signed and effective prior to the date the application is approved. </w:t>
      </w:r>
      <w:r w:rsidR="000C4DFF" w:rsidRPr="00206403">
        <w:rPr>
          <w:rFonts w:ascii="Arial" w:hAnsi="Arial" w:cs="Arial"/>
          <w:sz w:val="22"/>
          <w:szCs w:val="22"/>
        </w:rPr>
        <w:t>If</w:t>
      </w:r>
      <w:r w:rsidRPr="00206403">
        <w:rPr>
          <w:rFonts w:ascii="Arial" w:hAnsi="Arial" w:cs="Arial"/>
          <w:sz w:val="22"/>
          <w:szCs w:val="22"/>
        </w:rPr>
        <w:t xml:space="preserve"> the applicant fails to comply with the terms of the applicable agreement, the applicant does hereby consent and agree to all remedies in said agreement and does hereby agree and consent to the County rescinding all applicable project approvals.</w:t>
      </w:r>
    </w:p>
    <w:p w14:paraId="489A6FC2" w14:textId="77777777" w:rsidR="00866C9A" w:rsidRPr="00206403" w:rsidRDefault="001B4524" w:rsidP="00C7390C">
      <w:pPr>
        <w:tabs>
          <w:tab w:val="left" w:pos="540"/>
        </w:tabs>
        <w:spacing w:before="240"/>
        <w:ind w:left="547" w:hanging="547"/>
        <w:rPr>
          <w:rFonts w:ascii="Arial" w:hAnsi="Arial" w:cs="Arial"/>
          <w:sz w:val="22"/>
          <w:szCs w:val="22"/>
        </w:rPr>
      </w:pPr>
      <w:r>
        <w:rPr>
          <w:rFonts w:ascii="Arial" w:hAnsi="Arial" w:cs="Arial"/>
          <w:sz w:val="22"/>
          <w:szCs w:val="22"/>
        </w:rPr>
        <w:lastRenderedPageBreak/>
        <w:t>4</w:t>
      </w:r>
      <w:r w:rsidR="00866C9A">
        <w:rPr>
          <w:rFonts w:ascii="Arial" w:hAnsi="Arial" w:cs="Arial"/>
          <w:sz w:val="22"/>
          <w:szCs w:val="22"/>
        </w:rPr>
        <w:t>.</w:t>
      </w:r>
      <w:r w:rsidR="00866C9A">
        <w:rPr>
          <w:rFonts w:ascii="Arial" w:hAnsi="Arial" w:cs="Arial"/>
          <w:sz w:val="22"/>
          <w:szCs w:val="22"/>
        </w:rPr>
        <w:tab/>
        <w:t xml:space="preserve">Prior to recordation of the </w:t>
      </w:r>
      <w:r w:rsidR="00B42893">
        <w:rPr>
          <w:rFonts w:ascii="Arial" w:hAnsi="Arial" w:cs="Arial"/>
          <w:sz w:val="22"/>
          <w:szCs w:val="22"/>
        </w:rPr>
        <w:t>j</w:t>
      </w:r>
      <w:r w:rsidR="00866C9A">
        <w:rPr>
          <w:rFonts w:ascii="Arial" w:hAnsi="Arial" w:cs="Arial"/>
          <w:sz w:val="22"/>
          <w:szCs w:val="22"/>
        </w:rPr>
        <w:t xml:space="preserve">oint </w:t>
      </w:r>
      <w:r w:rsidR="00B42893">
        <w:rPr>
          <w:rFonts w:ascii="Arial" w:hAnsi="Arial" w:cs="Arial"/>
          <w:sz w:val="22"/>
          <w:szCs w:val="22"/>
        </w:rPr>
        <w:t>t</w:t>
      </w:r>
      <w:r w:rsidR="00866C9A">
        <w:rPr>
          <w:rFonts w:ascii="Arial" w:hAnsi="Arial" w:cs="Arial"/>
          <w:sz w:val="22"/>
          <w:szCs w:val="22"/>
        </w:rPr>
        <w:t xml:space="preserve">imber </w:t>
      </w:r>
      <w:r w:rsidR="00B42893">
        <w:rPr>
          <w:rFonts w:ascii="Arial" w:hAnsi="Arial" w:cs="Arial"/>
          <w:sz w:val="22"/>
          <w:szCs w:val="22"/>
        </w:rPr>
        <w:t>m</w:t>
      </w:r>
      <w:r w:rsidR="00866C9A">
        <w:rPr>
          <w:rFonts w:ascii="Arial" w:hAnsi="Arial" w:cs="Arial"/>
          <w:sz w:val="22"/>
          <w:szCs w:val="22"/>
        </w:rPr>
        <w:t xml:space="preserve">anagement </w:t>
      </w:r>
      <w:r w:rsidR="00B42893">
        <w:rPr>
          <w:rFonts w:ascii="Arial" w:hAnsi="Arial" w:cs="Arial"/>
          <w:sz w:val="22"/>
          <w:szCs w:val="22"/>
        </w:rPr>
        <w:t>p</w:t>
      </w:r>
      <w:r w:rsidR="00866C9A">
        <w:rPr>
          <w:rFonts w:ascii="Arial" w:hAnsi="Arial" w:cs="Arial"/>
          <w:sz w:val="22"/>
          <w:szCs w:val="22"/>
        </w:rPr>
        <w:t xml:space="preserve">lan, language shall be added that the </w:t>
      </w:r>
      <w:r w:rsidR="00B42893">
        <w:rPr>
          <w:rFonts w:ascii="Arial" w:hAnsi="Arial" w:cs="Arial"/>
          <w:sz w:val="22"/>
          <w:szCs w:val="22"/>
        </w:rPr>
        <w:t>m</w:t>
      </w:r>
      <w:r w:rsidR="00866C9A">
        <w:rPr>
          <w:rFonts w:ascii="Arial" w:hAnsi="Arial" w:cs="Arial"/>
          <w:sz w:val="22"/>
          <w:szCs w:val="22"/>
        </w:rPr>
        <w:t xml:space="preserve">anagement </w:t>
      </w:r>
      <w:r w:rsidR="00B42893">
        <w:rPr>
          <w:rFonts w:ascii="Arial" w:hAnsi="Arial" w:cs="Arial"/>
          <w:sz w:val="22"/>
          <w:szCs w:val="22"/>
        </w:rPr>
        <w:t>p</w:t>
      </w:r>
      <w:r w:rsidR="00866C9A">
        <w:rPr>
          <w:rFonts w:ascii="Arial" w:hAnsi="Arial" w:cs="Arial"/>
          <w:sz w:val="22"/>
          <w:szCs w:val="22"/>
        </w:rPr>
        <w:t>lan is a covenant that runs with the land</w:t>
      </w:r>
      <w:r w:rsidR="00C2780C">
        <w:rPr>
          <w:rFonts w:ascii="Arial" w:hAnsi="Arial" w:cs="Arial"/>
          <w:sz w:val="22"/>
          <w:szCs w:val="22"/>
        </w:rPr>
        <w:t xml:space="preserve">. The language added </w:t>
      </w:r>
      <w:r w:rsidR="00866C9A">
        <w:rPr>
          <w:rFonts w:ascii="Arial" w:hAnsi="Arial" w:cs="Arial"/>
          <w:sz w:val="22"/>
          <w:szCs w:val="22"/>
        </w:rPr>
        <w:t>shall be to the satisfaction of County Counsel.</w:t>
      </w:r>
    </w:p>
    <w:sectPr w:rsidR="00866C9A" w:rsidRPr="00206403" w:rsidSect="001F0F8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F82F4" w14:textId="77777777" w:rsidR="00C559DD" w:rsidRDefault="00C559DD">
      <w:r>
        <w:separator/>
      </w:r>
    </w:p>
  </w:endnote>
  <w:endnote w:type="continuationSeparator" w:id="0">
    <w:p w14:paraId="6CE7BFDE" w14:textId="77777777" w:rsidR="00C559DD" w:rsidRDefault="00C55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G Omega">
    <w:altName w:val="Malgun Gothi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D6D14" w14:textId="54E5323D" w:rsidR="00B22E77" w:rsidRDefault="009375D2" w:rsidP="00260BF0">
    <w:pPr>
      <w:pStyle w:val="Header"/>
      <w:spacing w:before="120"/>
      <w:jc w:val="center"/>
      <w:rPr>
        <w:rFonts w:ascii="Arial" w:hAnsi="Arial" w:cs="Arial"/>
      </w:rPr>
    </w:pPr>
    <w:r>
      <w:rPr>
        <w:rFonts w:ascii="Arial" w:hAnsi="Arial" w:cs="Arial"/>
      </w:rPr>
      <w:t>Exhibit A-1</w:t>
    </w:r>
    <w:r w:rsidR="00B22E77">
      <w:rPr>
        <w:rFonts w:ascii="Arial" w:hAnsi="Arial" w:cs="Arial"/>
      </w:rPr>
      <w:t xml:space="preserve"> – Notations and Conditions – </w:t>
    </w:r>
    <w:r>
      <w:rPr>
        <w:rFonts w:ascii="Arial" w:hAnsi="Arial" w:cs="Arial"/>
      </w:rPr>
      <w:t xml:space="preserve">BLA-21-22 </w:t>
    </w:r>
  </w:p>
  <w:p w14:paraId="470E8F2D" w14:textId="77777777" w:rsidR="00B22E77" w:rsidRPr="00260BF0" w:rsidRDefault="00B22E77" w:rsidP="00260BF0">
    <w:pPr>
      <w:pStyle w:val="Header"/>
      <w:jc w:val="center"/>
      <w:rPr>
        <w:rFonts w:ascii="Arial" w:hAnsi="Arial" w:cs="Arial"/>
      </w:rPr>
    </w:pPr>
    <w:r w:rsidRPr="0037422B">
      <w:rPr>
        <w:rFonts w:ascii="Arial" w:hAnsi="Arial" w:cs="Arial"/>
      </w:rPr>
      <w:t xml:space="preserve"> 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C2780C">
      <w:rPr>
        <w:rStyle w:val="PageNumber"/>
        <w:rFonts w:ascii="Arial" w:hAnsi="Arial" w:cs="Arial"/>
        <w:noProof/>
      </w:rPr>
      <w:t>2</w:t>
    </w:r>
    <w:r>
      <w:rPr>
        <w:rStyle w:val="PageNumber"/>
        <w:rFonts w:ascii="Arial" w:hAnsi="Arial" w:cs="Arial"/>
      </w:rPr>
      <w:fldChar w:fldCharType="end"/>
    </w:r>
    <w:r>
      <w:rPr>
        <w:rStyle w:val="PageNumber"/>
        <w:rFonts w:ascii="Arial" w:hAnsi="Arial" w:cs="Arial"/>
      </w:rPr>
      <w:t xml:space="preserve"> of </w:t>
    </w:r>
    <w:r w:rsidR="00823A2D">
      <w:rPr>
        <w:rStyle w:val="PageNumber"/>
        <w:rFonts w:ascii="Arial" w:hAnsi="Arial" w:cs="Arial"/>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E466F" w14:textId="77777777" w:rsidR="00C559DD" w:rsidRDefault="00C559DD">
      <w:r>
        <w:separator/>
      </w:r>
    </w:p>
  </w:footnote>
  <w:footnote w:type="continuationSeparator" w:id="0">
    <w:p w14:paraId="7D835C15" w14:textId="77777777" w:rsidR="00C559DD" w:rsidRDefault="00C55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CE075" w14:textId="77777777" w:rsidR="00B03C77" w:rsidRDefault="00B03C77" w:rsidP="00B03C77">
    <w:pPr>
      <w:pStyle w:val="Heading3"/>
      <w:spacing w:before="120" w:line="240" w:lineRule="auto"/>
      <w:jc w:val="center"/>
    </w:pPr>
    <w:r>
      <w:t xml:space="preserve">Exhibit A-1 to Resolution </w:t>
    </w:r>
    <w:r w:rsidR="00C0000B">
      <w:t>No. ______</w:t>
    </w:r>
  </w:p>
  <w:p w14:paraId="276BDB72" w14:textId="77777777" w:rsidR="00B22E77" w:rsidRDefault="00B03C77" w:rsidP="002D665A">
    <w:pPr>
      <w:pStyle w:val="Heading3"/>
      <w:spacing w:before="0"/>
      <w:jc w:val="center"/>
    </w:pPr>
    <w:r>
      <w:t>Notations and Recommended Conditions of Approval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F4D78"/>
    <w:multiLevelType w:val="hybridMultilevel"/>
    <w:tmpl w:val="F3EC5F02"/>
    <w:lvl w:ilvl="0" w:tplc="56380B88">
      <w:start w:val="1"/>
      <w:numFmt w:val="decimal"/>
      <w:lvlText w:val="%1."/>
      <w:lvlJc w:val="left"/>
      <w:pPr>
        <w:tabs>
          <w:tab w:val="num" w:pos="720"/>
        </w:tabs>
        <w:ind w:left="720" w:hanging="360"/>
      </w:pPr>
      <w:rPr>
        <w:rFonts w:ascii="Arial" w:hAnsi="Arial" w:cs="Aria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D170B"/>
    <w:multiLevelType w:val="hybridMultilevel"/>
    <w:tmpl w:val="8FCE4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320D15"/>
    <w:multiLevelType w:val="hybridMultilevel"/>
    <w:tmpl w:val="19D2E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F525BB"/>
    <w:multiLevelType w:val="hybridMultilevel"/>
    <w:tmpl w:val="A51ED8F4"/>
    <w:lvl w:ilvl="0" w:tplc="0409000F">
      <w:start w:val="1"/>
      <w:numFmt w:val="decimal"/>
      <w:lvlText w:val="%1."/>
      <w:lvlJc w:val="left"/>
      <w:pPr>
        <w:tabs>
          <w:tab w:val="num" w:pos="810"/>
        </w:tabs>
        <w:ind w:left="810" w:hanging="360"/>
      </w:pPr>
    </w:lvl>
    <w:lvl w:ilvl="1" w:tplc="AD9CB6EA">
      <w:start w:val="1"/>
      <w:numFmt w:val="decimal"/>
      <w:lvlText w:val="%2."/>
      <w:lvlJc w:val="left"/>
      <w:pPr>
        <w:tabs>
          <w:tab w:val="num" w:pos="1440"/>
        </w:tabs>
        <w:ind w:left="1440" w:hanging="360"/>
      </w:pPr>
      <w:rPr>
        <w:rFonts w:ascii="Arial" w:eastAsia="Times New Roman" w:hAnsi="Arial" w:cs="Arial" w:hint="default"/>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78128EB"/>
    <w:multiLevelType w:val="hybridMultilevel"/>
    <w:tmpl w:val="FF7C0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469E1"/>
    <w:multiLevelType w:val="hybridMultilevel"/>
    <w:tmpl w:val="ED4AED34"/>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7025015"/>
    <w:multiLevelType w:val="hybridMultilevel"/>
    <w:tmpl w:val="5E16028A"/>
    <w:lvl w:ilvl="0" w:tplc="E3E41C48">
      <w:start w:val="1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96623D6"/>
    <w:multiLevelType w:val="hybridMultilevel"/>
    <w:tmpl w:val="0964A11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A054060"/>
    <w:multiLevelType w:val="hybridMultilevel"/>
    <w:tmpl w:val="E0E2F9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7685050"/>
    <w:multiLevelType w:val="hybridMultilevel"/>
    <w:tmpl w:val="35F8F6A0"/>
    <w:lvl w:ilvl="0" w:tplc="FAD44CCC">
      <w:start w:val="1"/>
      <w:numFmt w:val="decimal"/>
      <w:lvlText w:val="%1."/>
      <w:lvlJc w:val="left"/>
      <w:pPr>
        <w:tabs>
          <w:tab w:val="num" w:pos="1440"/>
        </w:tabs>
        <w:ind w:left="1440" w:hanging="360"/>
      </w:pPr>
      <w:rPr>
        <w:rFonts w:ascii="Arial" w:eastAsia="Times New Roman" w:hAnsi="Arial" w:cs="Arial" w:hint="default"/>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F9613D0"/>
    <w:multiLevelType w:val="hybridMultilevel"/>
    <w:tmpl w:val="0B8C4584"/>
    <w:lvl w:ilvl="0" w:tplc="6C707704">
      <w:start w:val="1"/>
      <w:numFmt w:val="bullet"/>
      <w:lvlText w:val=""/>
      <w:lvlJc w:val="left"/>
      <w:pPr>
        <w:tabs>
          <w:tab w:val="num" w:pos="2434"/>
        </w:tabs>
        <w:ind w:left="2434" w:hanging="360"/>
      </w:pPr>
      <w:rPr>
        <w:rFonts w:ascii="Symbol" w:hAnsi="Symbol" w:hint="default"/>
        <w:sz w:val="20"/>
        <w:szCs w:val="20"/>
      </w:rPr>
    </w:lvl>
    <w:lvl w:ilvl="1" w:tplc="04090003">
      <w:start w:val="1"/>
      <w:numFmt w:val="bullet"/>
      <w:lvlText w:val="o"/>
      <w:lvlJc w:val="left"/>
      <w:pPr>
        <w:tabs>
          <w:tab w:val="num" w:pos="3154"/>
        </w:tabs>
        <w:ind w:left="3154"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762070C5"/>
    <w:multiLevelType w:val="hybridMultilevel"/>
    <w:tmpl w:val="5B180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BD7CF2"/>
    <w:multiLevelType w:val="hybridMultilevel"/>
    <w:tmpl w:val="D3145234"/>
    <w:lvl w:ilvl="0" w:tplc="6074BCC0">
      <w:start w:val="1"/>
      <w:numFmt w:val="lowerLetter"/>
      <w:lvlText w:val="%1)"/>
      <w:lvlJc w:val="left"/>
      <w:pPr>
        <w:tabs>
          <w:tab w:val="num" w:pos="900"/>
        </w:tabs>
        <w:ind w:left="900" w:hanging="360"/>
      </w:pPr>
      <w:rPr>
        <w:rFonts w:cs="Times New Roman" w:hint="default"/>
      </w:rPr>
    </w:lvl>
    <w:lvl w:ilvl="1" w:tplc="F89AF3C2">
      <w:start w:val="1"/>
      <w:numFmt w:val="decimal"/>
      <w:lvlText w:val="%2."/>
      <w:lvlJc w:val="left"/>
      <w:pPr>
        <w:tabs>
          <w:tab w:val="num" w:pos="1890"/>
        </w:tabs>
        <w:ind w:left="1890" w:hanging="360"/>
      </w:pPr>
      <w:rPr>
        <w:rFonts w:cs="Times New Roman" w:hint="default"/>
      </w:rPr>
    </w:lvl>
    <w:lvl w:ilvl="2" w:tplc="0409001B" w:tentative="1">
      <w:start w:val="1"/>
      <w:numFmt w:val="lowerRoman"/>
      <w:lvlText w:val="%3."/>
      <w:lvlJc w:val="right"/>
      <w:pPr>
        <w:tabs>
          <w:tab w:val="num" w:pos="2610"/>
        </w:tabs>
        <w:ind w:left="2610" w:hanging="180"/>
      </w:pPr>
      <w:rPr>
        <w:rFonts w:cs="Times New Roman"/>
      </w:rPr>
    </w:lvl>
    <w:lvl w:ilvl="3" w:tplc="0409000F" w:tentative="1">
      <w:start w:val="1"/>
      <w:numFmt w:val="decimal"/>
      <w:lvlText w:val="%4."/>
      <w:lvlJc w:val="left"/>
      <w:pPr>
        <w:tabs>
          <w:tab w:val="num" w:pos="3330"/>
        </w:tabs>
        <w:ind w:left="3330" w:hanging="360"/>
      </w:pPr>
      <w:rPr>
        <w:rFonts w:cs="Times New Roman"/>
      </w:rPr>
    </w:lvl>
    <w:lvl w:ilvl="4" w:tplc="04090019" w:tentative="1">
      <w:start w:val="1"/>
      <w:numFmt w:val="lowerLetter"/>
      <w:lvlText w:val="%5."/>
      <w:lvlJc w:val="left"/>
      <w:pPr>
        <w:tabs>
          <w:tab w:val="num" w:pos="4050"/>
        </w:tabs>
        <w:ind w:left="4050" w:hanging="360"/>
      </w:pPr>
      <w:rPr>
        <w:rFonts w:cs="Times New Roman"/>
      </w:rPr>
    </w:lvl>
    <w:lvl w:ilvl="5" w:tplc="0409001B" w:tentative="1">
      <w:start w:val="1"/>
      <w:numFmt w:val="lowerRoman"/>
      <w:lvlText w:val="%6."/>
      <w:lvlJc w:val="right"/>
      <w:pPr>
        <w:tabs>
          <w:tab w:val="num" w:pos="4770"/>
        </w:tabs>
        <w:ind w:left="4770" w:hanging="180"/>
      </w:pPr>
      <w:rPr>
        <w:rFonts w:cs="Times New Roman"/>
      </w:rPr>
    </w:lvl>
    <w:lvl w:ilvl="6" w:tplc="0409000F" w:tentative="1">
      <w:start w:val="1"/>
      <w:numFmt w:val="decimal"/>
      <w:lvlText w:val="%7."/>
      <w:lvlJc w:val="left"/>
      <w:pPr>
        <w:tabs>
          <w:tab w:val="num" w:pos="5490"/>
        </w:tabs>
        <w:ind w:left="5490" w:hanging="360"/>
      </w:pPr>
      <w:rPr>
        <w:rFonts w:cs="Times New Roman"/>
      </w:rPr>
    </w:lvl>
    <w:lvl w:ilvl="7" w:tplc="04090019" w:tentative="1">
      <w:start w:val="1"/>
      <w:numFmt w:val="lowerLetter"/>
      <w:lvlText w:val="%8."/>
      <w:lvlJc w:val="left"/>
      <w:pPr>
        <w:tabs>
          <w:tab w:val="num" w:pos="6210"/>
        </w:tabs>
        <w:ind w:left="6210" w:hanging="360"/>
      </w:pPr>
      <w:rPr>
        <w:rFonts w:cs="Times New Roman"/>
      </w:rPr>
    </w:lvl>
    <w:lvl w:ilvl="8" w:tplc="0409001B" w:tentative="1">
      <w:start w:val="1"/>
      <w:numFmt w:val="lowerRoman"/>
      <w:lvlText w:val="%9."/>
      <w:lvlJc w:val="right"/>
      <w:pPr>
        <w:tabs>
          <w:tab w:val="num" w:pos="6930"/>
        </w:tabs>
        <w:ind w:left="6930" w:hanging="180"/>
      </w:pPr>
      <w:rPr>
        <w:rFonts w:cs="Times New Roman"/>
      </w:rPr>
    </w:lvl>
  </w:abstractNum>
  <w:abstractNum w:abstractNumId="13" w15:restartNumberingAfterBreak="0">
    <w:nsid w:val="78B204F8"/>
    <w:multiLevelType w:val="multilevel"/>
    <w:tmpl w:val="EC6C7F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7F3F59DF"/>
    <w:multiLevelType w:val="hybridMultilevel"/>
    <w:tmpl w:val="ED4AED34"/>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0"/>
  </w:num>
  <w:num w:numId="5">
    <w:abstractNumId w:val="8"/>
  </w:num>
  <w:num w:numId="6">
    <w:abstractNumId w:val="0"/>
  </w:num>
  <w:num w:numId="7">
    <w:abstractNumId w:val="6"/>
  </w:num>
  <w:num w:numId="8">
    <w:abstractNumId w:val="9"/>
  </w:num>
  <w:num w:numId="9">
    <w:abstractNumId w:val="12"/>
  </w:num>
  <w:num w:numId="10">
    <w:abstractNumId w:val="7"/>
  </w:num>
  <w:num w:numId="11">
    <w:abstractNumId w:val="14"/>
  </w:num>
  <w:num w:numId="12">
    <w:abstractNumId w:val="13"/>
  </w:num>
  <w:num w:numId="13">
    <w:abstractNumId w:val="4"/>
  </w:num>
  <w:num w:numId="14">
    <w:abstractNumId w:val="1"/>
  </w:num>
  <w:num w:numId="15">
    <w:abstractNumId w:val="2"/>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2550"/>
    <w:rsid w:val="000125D8"/>
    <w:rsid w:val="0001276D"/>
    <w:rsid w:val="00047249"/>
    <w:rsid w:val="00056C77"/>
    <w:rsid w:val="00067C14"/>
    <w:rsid w:val="00071D54"/>
    <w:rsid w:val="0008172D"/>
    <w:rsid w:val="00095C26"/>
    <w:rsid w:val="00096990"/>
    <w:rsid w:val="000A62AB"/>
    <w:rsid w:val="000B16DC"/>
    <w:rsid w:val="000B591B"/>
    <w:rsid w:val="000C4DFF"/>
    <w:rsid w:val="00104A5C"/>
    <w:rsid w:val="00110F9A"/>
    <w:rsid w:val="001155A1"/>
    <w:rsid w:val="00144531"/>
    <w:rsid w:val="0015179E"/>
    <w:rsid w:val="001526EC"/>
    <w:rsid w:val="00164499"/>
    <w:rsid w:val="00172556"/>
    <w:rsid w:val="00180C65"/>
    <w:rsid w:val="0018174B"/>
    <w:rsid w:val="00184EE4"/>
    <w:rsid w:val="001A1E2B"/>
    <w:rsid w:val="001B3380"/>
    <w:rsid w:val="001B3B8B"/>
    <w:rsid w:val="001B4524"/>
    <w:rsid w:val="001D5E15"/>
    <w:rsid w:val="001D6D3B"/>
    <w:rsid w:val="001F0F87"/>
    <w:rsid w:val="001F1145"/>
    <w:rsid w:val="002046DB"/>
    <w:rsid w:val="00206403"/>
    <w:rsid w:val="0023089B"/>
    <w:rsid w:val="0023368B"/>
    <w:rsid w:val="00252A25"/>
    <w:rsid w:val="00260BF0"/>
    <w:rsid w:val="00262A42"/>
    <w:rsid w:val="0026336E"/>
    <w:rsid w:val="0026700E"/>
    <w:rsid w:val="00275B30"/>
    <w:rsid w:val="00294C72"/>
    <w:rsid w:val="002A6512"/>
    <w:rsid w:val="002B4EF8"/>
    <w:rsid w:val="002D665A"/>
    <w:rsid w:val="002F0A2D"/>
    <w:rsid w:val="002F352F"/>
    <w:rsid w:val="00302550"/>
    <w:rsid w:val="00311BF0"/>
    <w:rsid w:val="00337F70"/>
    <w:rsid w:val="003423DE"/>
    <w:rsid w:val="0034442D"/>
    <w:rsid w:val="0036408B"/>
    <w:rsid w:val="0036467F"/>
    <w:rsid w:val="00370875"/>
    <w:rsid w:val="00370A05"/>
    <w:rsid w:val="0037422B"/>
    <w:rsid w:val="003759FA"/>
    <w:rsid w:val="003825E2"/>
    <w:rsid w:val="00383C15"/>
    <w:rsid w:val="003A1509"/>
    <w:rsid w:val="003A31D9"/>
    <w:rsid w:val="003A4B54"/>
    <w:rsid w:val="003B0449"/>
    <w:rsid w:val="003E59BE"/>
    <w:rsid w:val="004034B0"/>
    <w:rsid w:val="004269A4"/>
    <w:rsid w:val="004413EE"/>
    <w:rsid w:val="004427A2"/>
    <w:rsid w:val="004543EF"/>
    <w:rsid w:val="004658A6"/>
    <w:rsid w:val="00467D97"/>
    <w:rsid w:val="004702B7"/>
    <w:rsid w:val="004B08B1"/>
    <w:rsid w:val="004B465B"/>
    <w:rsid w:val="004C3CE0"/>
    <w:rsid w:val="004D7678"/>
    <w:rsid w:val="004F7EF2"/>
    <w:rsid w:val="005139DB"/>
    <w:rsid w:val="005269BD"/>
    <w:rsid w:val="0053470E"/>
    <w:rsid w:val="00537618"/>
    <w:rsid w:val="00545206"/>
    <w:rsid w:val="005625C1"/>
    <w:rsid w:val="00565B48"/>
    <w:rsid w:val="005904C1"/>
    <w:rsid w:val="00591F4C"/>
    <w:rsid w:val="005929F6"/>
    <w:rsid w:val="005A37EB"/>
    <w:rsid w:val="005E21A7"/>
    <w:rsid w:val="005E5028"/>
    <w:rsid w:val="0060198F"/>
    <w:rsid w:val="00631788"/>
    <w:rsid w:val="006407F2"/>
    <w:rsid w:val="00653A0C"/>
    <w:rsid w:val="00687440"/>
    <w:rsid w:val="006A7637"/>
    <w:rsid w:val="006C03F3"/>
    <w:rsid w:val="006C4A2D"/>
    <w:rsid w:val="006E631C"/>
    <w:rsid w:val="00702365"/>
    <w:rsid w:val="00730244"/>
    <w:rsid w:val="00755F0B"/>
    <w:rsid w:val="00757975"/>
    <w:rsid w:val="00780CE4"/>
    <w:rsid w:val="00786BFA"/>
    <w:rsid w:val="00792BD4"/>
    <w:rsid w:val="007B3BE9"/>
    <w:rsid w:val="007B4C75"/>
    <w:rsid w:val="0080234C"/>
    <w:rsid w:val="00823A2D"/>
    <w:rsid w:val="008306EB"/>
    <w:rsid w:val="00833B09"/>
    <w:rsid w:val="0083643D"/>
    <w:rsid w:val="00856276"/>
    <w:rsid w:val="00865451"/>
    <w:rsid w:val="00866C9A"/>
    <w:rsid w:val="00871D0E"/>
    <w:rsid w:val="00897252"/>
    <w:rsid w:val="008A6F60"/>
    <w:rsid w:val="008B4813"/>
    <w:rsid w:val="008C0465"/>
    <w:rsid w:val="008C42DC"/>
    <w:rsid w:val="008C6AB5"/>
    <w:rsid w:val="008D4736"/>
    <w:rsid w:val="008E4EA6"/>
    <w:rsid w:val="008F1FC8"/>
    <w:rsid w:val="008F3739"/>
    <w:rsid w:val="008F3E29"/>
    <w:rsid w:val="0090793C"/>
    <w:rsid w:val="00912CFB"/>
    <w:rsid w:val="00920E81"/>
    <w:rsid w:val="00923BBA"/>
    <w:rsid w:val="009375D2"/>
    <w:rsid w:val="009456DA"/>
    <w:rsid w:val="00947352"/>
    <w:rsid w:val="0095270A"/>
    <w:rsid w:val="009634B3"/>
    <w:rsid w:val="00975361"/>
    <w:rsid w:val="00977586"/>
    <w:rsid w:val="00983C27"/>
    <w:rsid w:val="00997A97"/>
    <w:rsid w:val="00997BBF"/>
    <w:rsid w:val="009C32A4"/>
    <w:rsid w:val="009F3072"/>
    <w:rsid w:val="00A007FB"/>
    <w:rsid w:val="00A102BD"/>
    <w:rsid w:val="00A1250B"/>
    <w:rsid w:val="00A4266B"/>
    <w:rsid w:val="00A52904"/>
    <w:rsid w:val="00A95352"/>
    <w:rsid w:val="00AA2C1D"/>
    <w:rsid w:val="00AB5651"/>
    <w:rsid w:val="00AB79B9"/>
    <w:rsid w:val="00AC34FC"/>
    <w:rsid w:val="00AE62E6"/>
    <w:rsid w:val="00AF1A76"/>
    <w:rsid w:val="00B03C77"/>
    <w:rsid w:val="00B06F53"/>
    <w:rsid w:val="00B14AA5"/>
    <w:rsid w:val="00B22E77"/>
    <w:rsid w:val="00B414D4"/>
    <w:rsid w:val="00B42893"/>
    <w:rsid w:val="00B44F08"/>
    <w:rsid w:val="00B60AD0"/>
    <w:rsid w:val="00B74491"/>
    <w:rsid w:val="00B77EEB"/>
    <w:rsid w:val="00B95B4F"/>
    <w:rsid w:val="00BC32DA"/>
    <w:rsid w:val="00BC6875"/>
    <w:rsid w:val="00BD00F2"/>
    <w:rsid w:val="00BE649A"/>
    <w:rsid w:val="00BF2027"/>
    <w:rsid w:val="00C0000B"/>
    <w:rsid w:val="00C06A73"/>
    <w:rsid w:val="00C275BA"/>
    <w:rsid w:val="00C2780C"/>
    <w:rsid w:val="00C43AE2"/>
    <w:rsid w:val="00C559DD"/>
    <w:rsid w:val="00C55DB8"/>
    <w:rsid w:val="00C7390C"/>
    <w:rsid w:val="00C809E9"/>
    <w:rsid w:val="00C904BE"/>
    <w:rsid w:val="00C97B63"/>
    <w:rsid w:val="00CC41FD"/>
    <w:rsid w:val="00CC74C7"/>
    <w:rsid w:val="00CE0CC3"/>
    <w:rsid w:val="00D12C33"/>
    <w:rsid w:val="00D36D1A"/>
    <w:rsid w:val="00D465A3"/>
    <w:rsid w:val="00D61847"/>
    <w:rsid w:val="00D64B08"/>
    <w:rsid w:val="00D77674"/>
    <w:rsid w:val="00D81488"/>
    <w:rsid w:val="00D90FE1"/>
    <w:rsid w:val="00D91715"/>
    <w:rsid w:val="00DB4C48"/>
    <w:rsid w:val="00DB6AC3"/>
    <w:rsid w:val="00DD562B"/>
    <w:rsid w:val="00E06AEA"/>
    <w:rsid w:val="00E14C5A"/>
    <w:rsid w:val="00E15380"/>
    <w:rsid w:val="00E20CC6"/>
    <w:rsid w:val="00E25783"/>
    <w:rsid w:val="00E26183"/>
    <w:rsid w:val="00E53C19"/>
    <w:rsid w:val="00E56B5E"/>
    <w:rsid w:val="00E576BA"/>
    <w:rsid w:val="00E6453B"/>
    <w:rsid w:val="00E82E76"/>
    <w:rsid w:val="00F005DD"/>
    <w:rsid w:val="00F16565"/>
    <w:rsid w:val="00F23C2A"/>
    <w:rsid w:val="00F30605"/>
    <w:rsid w:val="00F45186"/>
    <w:rsid w:val="00F461B3"/>
    <w:rsid w:val="00F64C75"/>
    <w:rsid w:val="00F66FC7"/>
    <w:rsid w:val="00F70E9C"/>
    <w:rsid w:val="00FA1CDC"/>
    <w:rsid w:val="00FA4EC3"/>
    <w:rsid w:val="00FD2185"/>
    <w:rsid w:val="00FD7E4E"/>
    <w:rsid w:val="00FE6D4D"/>
    <w:rsid w:val="00FF5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AEBEE9"/>
  <w15:chartTrackingRefBased/>
  <w15:docId w15:val="{E2284468-A1D6-48F2-A3BB-603318AE9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198F"/>
    <w:pPr>
      <w:jc w:val="both"/>
    </w:pPr>
    <w:rPr>
      <w:rFonts w:ascii="Century Gothic" w:hAnsi="Century Gothic"/>
      <w:szCs w:val="24"/>
    </w:rPr>
  </w:style>
  <w:style w:type="paragraph" w:styleId="Heading3">
    <w:name w:val="heading 3"/>
    <w:basedOn w:val="Normal"/>
    <w:next w:val="Normal"/>
    <w:link w:val="Heading3Char"/>
    <w:uiPriority w:val="9"/>
    <w:unhideWhenUsed/>
    <w:qFormat/>
    <w:rsid w:val="00B03C77"/>
    <w:pPr>
      <w:keepNext/>
      <w:spacing w:before="240" w:after="60" w:line="259" w:lineRule="auto"/>
      <w:jc w:val="left"/>
      <w:outlineLvl w:val="2"/>
    </w:pPr>
    <w:rPr>
      <w:rFonts w:ascii="Arial" w:hAnsi="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2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6336E"/>
    <w:pPr>
      <w:tabs>
        <w:tab w:val="center" w:pos="4320"/>
        <w:tab w:val="right" w:pos="8640"/>
      </w:tabs>
    </w:pPr>
  </w:style>
  <w:style w:type="paragraph" w:styleId="Footer">
    <w:name w:val="footer"/>
    <w:basedOn w:val="Normal"/>
    <w:rsid w:val="0026336E"/>
    <w:pPr>
      <w:tabs>
        <w:tab w:val="center" w:pos="4320"/>
        <w:tab w:val="right" w:pos="8640"/>
      </w:tabs>
    </w:pPr>
  </w:style>
  <w:style w:type="character" w:styleId="PageNumber">
    <w:name w:val="page number"/>
    <w:basedOn w:val="DefaultParagraphFont"/>
    <w:rsid w:val="001B3380"/>
  </w:style>
  <w:style w:type="paragraph" w:customStyle="1" w:styleId="StyleCGOmega12ptBoldLeft0Hanging25BoxSingl">
    <w:name w:val="Style CG Omega 12 pt Bold Left:  0&quot; Hanging:  2.5&quot; Box: (Singl..."/>
    <w:basedOn w:val="Normal"/>
    <w:rsid w:val="00D90FE1"/>
    <w:pPr>
      <w:pBdr>
        <w:top w:val="single" w:sz="4" w:space="1" w:color="auto"/>
        <w:left w:val="single" w:sz="4" w:space="4" w:color="auto"/>
        <w:bottom w:val="single" w:sz="4" w:space="1" w:color="auto"/>
        <w:right w:val="single" w:sz="4" w:space="4" w:color="auto"/>
      </w:pBdr>
      <w:shd w:val="clear" w:color="auto" w:fill="E6E6E6"/>
      <w:ind w:left="3600" w:hanging="3600"/>
      <w:jc w:val="left"/>
    </w:pPr>
    <w:rPr>
      <w:rFonts w:ascii="CG Omega" w:hAnsi="CG Omega"/>
      <w:b/>
      <w:bCs/>
      <w:color w:val="000000"/>
      <w:sz w:val="24"/>
    </w:rPr>
  </w:style>
  <w:style w:type="paragraph" w:styleId="ListParagraph">
    <w:name w:val="List Paragraph"/>
    <w:basedOn w:val="Normal"/>
    <w:uiPriority w:val="5"/>
    <w:qFormat/>
    <w:rsid w:val="009456DA"/>
    <w:pPr>
      <w:ind w:left="720"/>
    </w:pPr>
  </w:style>
  <w:style w:type="character" w:styleId="CommentReference">
    <w:name w:val="annotation reference"/>
    <w:rsid w:val="004269A4"/>
    <w:rPr>
      <w:sz w:val="16"/>
      <w:szCs w:val="16"/>
    </w:rPr>
  </w:style>
  <w:style w:type="paragraph" w:styleId="CommentText">
    <w:name w:val="annotation text"/>
    <w:basedOn w:val="Normal"/>
    <w:link w:val="CommentTextChar"/>
    <w:rsid w:val="004269A4"/>
    <w:rPr>
      <w:szCs w:val="20"/>
    </w:rPr>
  </w:style>
  <w:style w:type="character" w:customStyle="1" w:styleId="CommentTextChar">
    <w:name w:val="Comment Text Char"/>
    <w:link w:val="CommentText"/>
    <w:rsid w:val="004269A4"/>
    <w:rPr>
      <w:rFonts w:ascii="Century Gothic" w:hAnsi="Century Gothic"/>
    </w:rPr>
  </w:style>
  <w:style w:type="paragraph" w:styleId="CommentSubject">
    <w:name w:val="annotation subject"/>
    <w:basedOn w:val="CommentText"/>
    <w:next w:val="CommentText"/>
    <w:link w:val="CommentSubjectChar"/>
    <w:rsid w:val="004269A4"/>
    <w:rPr>
      <w:b/>
      <w:bCs/>
    </w:rPr>
  </w:style>
  <w:style w:type="character" w:customStyle="1" w:styleId="CommentSubjectChar">
    <w:name w:val="Comment Subject Char"/>
    <w:link w:val="CommentSubject"/>
    <w:rsid w:val="004269A4"/>
    <w:rPr>
      <w:rFonts w:ascii="Century Gothic" w:hAnsi="Century Gothic"/>
      <w:b/>
      <w:bCs/>
    </w:rPr>
  </w:style>
  <w:style w:type="paragraph" w:styleId="Revision">
    <w:name w:val="Revision"/>
    <w:hidden/>
    <w:uiPriority w:val="99"/>
    <w:semiHidden/>
    <w:rsid w:val="004269A4"/>
    <w:rPr>
      <w:rFonts w:ascii="Century Gothic" w:hAnsi="Century Gothic"/>
      <w:szCs w:val="24"/>
    </w:rPr>
  </w:style>
  <w:style w:type="paragraph" w:styleId="BalloonText">
    <w:name w:val="Balloon Text"/>
    <w:basedOn w:val="Normal"/>
    <w:link w:val="BalloonTextChar"/>
    <w:rsid w:val="004269A4"/>
    <w:rPr>
      <w:rFonts w:ascii="Tahoma" w:hAnsi="Tahoma" w:cs="Tahoma"/>
      <w:sz w:val="16"/>
      <w:szCs w:val="16"/>
    </w:rPr>
  </w:style>
  <w:style w:type="character" w:customStyle="1" w:styleId="BalloonTextChar">
    <w:name w:val="Balloon Text Char"/>
    <w:link w:val="BalloonText"/>
    <w:rsid w:val="004269A4"/>
    <w:rPr>
      <w:rFonts w:ascii="Tahoma" w:hAnsi="Tahoma" w:cs="Tahoma"/>
      <w:sz w:val="16"/>
      <w:szCs w:val="16"/>
    </w:rPr>
  </w:style>
  <w:style w:type="character" w:styleId="Hyperlink">
    <w:name w:val="Hyperlink"/>
    <w:rsid w:val="005269BD"/>
    <w:rPr>
      <w:color w:val="0563C1"/>
      <w:u w:val="single"/>
    </w:rPr>
  </w:style>
  <w:style w:type="character" w:customStyle="1" w:styleId="Heading3Char">
    <w:name w:val="Heading 3 Char"/>
    <w:link w:val="Heading3"/>
    <w:uiPriority w:val="9"/>
    <w:rsid w:val="00B03C77"/>
    <w:rPr>
      <w:rFonts w:ascii="Arial" w:hAnsi="Arial"/>
      <w:b/>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61492">
      <w:bodyDiv w:val="1"/>
      <w:marLeft w:val="0"/>
      <w:marRight w:val="0"/>
      <w:marTop w:val="0"/>
      <w:marBottom w:val="0"/>
      <w:divBdr>
        <w:top w:val="none" w:sz="0" w:space="0" w:color="auto"/>
        <w:left w:val="none" w:sz="0" w:space="0" w:color="auto"/>
        <w:bottom w:val="none" w:sz="0" w:space="0" w:color="auto"/>
        <w:right w:val="none" w:sz="0" w:space="0" w:color="auto"/>
      </w:divBdr>
    </w:div>
    <w:div w:id="368652117">
      <w:bodyDiv w:val="1"/>
      <w:marLeft w:val="0"/>
      <w:marRight w:val="0"/>
      <w:marTop w:val="0"/>
      <w:marBottom w:val="0"/>
      <w:divBdr>
        <w:top w:val="none" w:sz="0" w:space="0" w:color="auto"/>
        <w:left w:val="none" w:sz="0" w:space="0" w:color="auto"/>
        <w:bottom w:val="none" w:sz="0" w:space="0" w:color="auto"/>
        <w:right w:val="none" w:sz="0" w:space="0" w:color="auto"/>
      </w:divBdr>
    </w:div>
    <w:div w:id="627707828">
      <w:bodyDiv w:val="1"/>
      <w:marLeft w:val="0"/>
      <w:marRight w:val="0"/>
      <w:marTop w:val="0"/>
      <w:marBottom w:val="0"/>
      <w:divBdr>
        <w:top w:val="none" w:sz="0" w:space="0" w:color="auto"/>
        <w:left w:val="none" w:sz="0" w:space="0" w:color="auto"/>
        <w:bottom w:val="none" w:sz="0" w:space="0" w:color="auto"/>
        <w:right w:val="none" w:sz="0" w:space="0" w:color="auto"/>
      </w:divBdr>
    </w:div>
    <w:div w:id="689719374">
      <w:bodyDiv w:val="1"/>
      <w:marLeft w:val="0"/>
      <w:marRight w:val="0"/>
      <w:marTop w:val="0"/>
      <w:marBottom w:val="0"/>
      <w:divBdr>
        <w:top w:val="none" w:sz="0" w:space="0" w:color="auto"/>
        <w:left w:val="none" w:sz="0" w:space="0" w:color="auto"/>
        <w:bottom w:val="none" w:sz="0" w:space="0" w:color="auto"/>
        <w:right w:val="none" w:sz="0" w:space="0" w:color="auto"/>
      </w:divBdr>
    </w:div>
    <w:div w:id="895046612">
      <w:bodyDiv w:val="1"/>
      <w:marLeft w:val="0"/>
      <w:marRight w:val="0"/>
      <w:marTop w:val="0"/>
      <w:marBottom w:val="0"/>
      <w:divBdr>
        <w:top w:val="none" w:sz="0" w:space="0" w:color="auto"/>
        <w:left w:val="none" w:sz="0" w:space="0" w:color="auto"/>
        <w:bottom w:val="none" w:sz="0" w:space="0" w:color="auto"/>
        <w:right w:val="none" w:sz="0" w:space="0" w:color="auto"/>
      </w:divBdr>
    </w:div>
    <w:div w:id="1484152198">
      <w:bodyDiv w:val="1"/>
      <w:marLeft w:val="0"/>
      <w:marRight w:val="0"/>
      <w:marTop w:val="0"/>
      <w:marBottom w:val="0"/>
      <w:divBdr>
        <w:top w:val="none" w:sz="0" w:space="0" w:color="auto"/>
        <w:left w:val="none" w:sz="0" w:space="0" w:color="auto"/>
        <w:bottom w:val="none" w:sz="0" w:space="0" w:color="auto"/>
        <w:right w:val="none" w:sz="0" w:space="0" w:color="auto"/>
      </w:divBdr>
    </w:div>
    <w:div w:id="1707102079">
      <w:bodyDiv w:val="1"/>
      <w:marLeft w:val="0"/>
      <w:marRight w:val="0"/>
      <w:marTop w:val="0"/>
      <w:marBottom w:val="0"/>
      <w:divBdr>
        <w:top w:val="none" w:sz="0" w:space="0" w:color="auto"/>
        <w:left w:val="none" w:sz="0" w:space="0" w:color="auto"/>
        <w:bottom w:val="none" w:sz="0" w:space="0" w:color="auto"/>
        <w:right w:val="none" w:sz="0" w:space="0" w:color="auto"/>
      </w:divBdr>
    </w:div>
    <w:div w:id="175377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CONDITIONS OF APPROVAL:</vt:lpstr>
    </vt:vector>
  </TitlesOfParts>
  <Company>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CONDITIONS OF APPROVAL:</dc:title>
  <dc:subject/>
  <dc:creator>rtinsman</dc:creator>
  <cp:keywords/>
  <cp:lastModifiedBy>Shelley Gray</cp:lastModifiedBy>
  <cp:revision>3</cp:revision>
  <cp:lastPrinted>2022-02-14T16:34:00Z</cp:lastPrinted>
  <dcterms:created xsi:type="dcterms:W3CDTF">2022-02-14T19:06:00Z</dcterms:created>
  <dcterms:modified xsi:type="dcterms:W3CDTF">2022-02-14T19:06:00Z</dcterms:modified>
</cp:coreProperties>
</file>