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B7E9" w14:textId="593F202C"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2E8631A0" w14:textId="77777777" w:rsidR="00E6635D" w:rsidRDefault="00E6635D" w:rsidP="00E6635D">
      <w:pPr>
        <w:pStyle w:val="Heading1"/>
      </w:pPr>
      <w:r>
        <w:t>RESOLUTION OF THE BOARD OF SUPERVISORS</w:t>
      </w:r>
    </w:p>
    <w:p w14:paraId="5CCD2726" w14:textId="698C5EF0" w:rsidR="00D8061E" w:rsidRPr="00B07192" w:rsidRDefault="00E6635D" w:rsidP="00B07192">
      <w:pPr>
        <w:pStyle w:val="Heading1"/>
      </w:pPr>
      <w:r>
        <w:t>OF THE COUNTY OF SISKIYOU</w:t>
      </w:r>
      <w:r w:rsidR="005A2E34">
        <w:t xml:space="preserve"> MAKING PUBLIC TRUST FINDINGS FOR THE ENVIRONMENTAL HEALTH DIVISION’S</w:t>
      </w:r>
      <w:r w:rsidR="008C66AA">
        <w:t xml:space="preserve"> </w:t>
      </w:r>
      <w:r w:rsidR="003C4645">
        <w:t xml:space="preserve">(EHD) </w:t>
      </w:r>
      <w:r w:rsidR="005A2E34">
        <w:t xml:space="preserve">MINISTERIAL ISSUANCE OF DOMESTIC WATER WELL PERMITS IN THE SCOTT VALLEY </w:t>
      </w:r>
      <w:r w:rsidR="003C4645">
        <w:t xml:space="preserve">FOR WELLS </w:t>
      </w:r>
      <w:r w:rsidR="005A2E34">
        <w:t xml:space="preserve">LOCATED OUTSIDE THE IMMEDIATE RIVER CORRIDOR OF THE SCOTT RIVER </w:t>
      </w:r>
      <w:r w:rsidR="003C4645">
        <w:t>AND DIRECTING EHD</w:t>
      </w:r>
      <w:r w:rsidR="005A2E34">
        <w:t xml:space="preserve"> TO BRING FORWARD AN INTERIM ORDINANCE FOR A MORATORIUM ON NEW AGRICULTURAL WELL</w:t>
      </w:r>
      <w:r w:rsidR="00BB710C">
        <w:t xml:space="preserve"> APPLICATION</w:t>
      </w:r>
      <w:r w:rsidR="005A2E34">
        <w:t>S</w:t>
      </w:r>
      <w:r w:rsidR="003C4645">
        <w:t xml:space="preserve"> </w:t>
      </w:r>
      <w:r w:rsidR="00BB710C">
        <w:t xml:space="preserve">AND PERMITS </w:t>
      </w:r>
      <w:r w:rsidR="003C4645">
        <w:t>IN THE SCOTT VALLEY</w:t>
      </w:r>
      <w:r w:rsidR="0027430C">
        <w:t>,</w:t>
      </w:r>
      <w:r w:rsidR="005A2E34">
        <w:t xml:space="preserve"> </w:t>
      </w:r>
      <w:r w:rsidR="00BB710C">
        <w:t>WITH CERTAIN EXCEPTIONS.</w:t>
      </w:r>
    </w:p>
    <w:p w14:paraId="1D1ACCD9" w14:textId="42936F2F" w:rsidR="00D8061E" w:rsidRDefault="00E6635D" w:rsidP="00D8061E">
      <w:pPr>
        <w:ind w:firstLine="720"/>
        <w:rPr>
          <w:rFonts w:cs="Arial"/>
          <w:szCs w:val="24"/>
        </w:rPr>
      </w:pPr>
      <w:r>
        <w:rPr>
          <w:rFonts w:cs="Arial"/>
          <w:szCs w:val="24"/>
        </w:rPr>
        <w:t>WHEREAS,</w:t>
      </w:r>
      <w:r w:rsidR="00F9575C" w:rsidRPr="00F9575C">
        <w:rPr>
          <w:rFonts w:cs="Arial"/>
          <w:szCs w:val="24"/>
        </w:rPr>
        <w:t xml:space="preserve"> </w:t>
      </w:r>
      <w:r w:rsidR="00D8061E">
        <w:rPr>
          <w:rFonts w:cs="Arial"/>
          <w:szCs w:val="24"/>
        </w:rPr>
        <w:t xml:space="preserve">courts </w:t>
      </w:r>
      <w:r w:rsidR="00C10583">
        <w:rPr>
          <w:rFonts w:cs="Arial"/>
          <w:szCs w:val="24"/>
        </w:rPr>
        <w:t xml:space="preserve">in California </w:t>
      </w:r>
      <w:r w:rsidR="00D8061E">
        <w:rPr>
          <w:rFonts w:cs="Arial"/>
          <w:szCs w:val="24"/>
        </w:rPr>
        <w:t xml:space="preserve">have held </w:t>
      </w:r>
      <w:r w:rsidR="00C10583">
        <w:rPr>
          <w:rFonts w:cs="Arial"/>
          <w:szCs w:val="24"/>
        </w:rPr>
        <w:t xml:space="preserve">that Siskiyou </w:t>
      </w:r>
      <w:r w:rsidR="00D8061E" w:rsidRPr="00D8061E">
        <w:rPr>
          <w:rFonts w:cs="Arial"/>
          <w:szCs w:val="24"/>
        </w:rPr>
        <w:t>County, as a political subdivision of the state</w:t>
      </w:r>
      <w:r w:rsidR="00D8061E">
        <w:rPr>
          <w:rFonts w:cs="Arial"/>
          <w:szCs w:val="24"/>
        </w:rPr>
        <w:t xml:space="preserve"> of California</w:t>
      </w:r>
      <w:r w:rsidR="00D8061E" w:rsidRPr="00D8061E">
        <w:rPr>
          <w:rFonts w:cs="Arial"/>
          <w:szCs w:val="24"/>
        </w:rPr>
        <w:t xml:space="preserve">, has an obligation to consider impacts to public trust </w:t>
      </w:r>
      <w:r w:rsidR="00BB1DB3">
        <w:rPr>
          <w:rFonts w:cs="Arial"/>
          <w:szCs w:val="24"/>
        </w:rPr>
        <w:t xml:space="preserve">resources in the Scott River, </w:t>
      </w:r>
      <w:r w:rsidR="00D8061E" w:rsidRPr="00D8061E">
        <w:rPr>
          <w:rFonts w:cs="Arial"/>
          <w:szCs w:val="24"/>
        </w:rPr>
        <w:t>such as navigat</w:t>
      </w:r>
      <w:r w:rsidR="00BB1DB3">
        <w:rPr>
          <w:rFonts w:cs="Arial"/>
          <w:szCs w:val="24"/>
        </w:rPr>
        <w:t>ion, recreation and fisheries,</w:t>
      </w:r>
      <w:r w:rsidR="00D8061E" w:rsidRPr="00D8061E">
        <w:rPr>
          <w:rFonts w:cs="Arial"/>
          <w:szCs w:val="24"/>
        </w:rPr>
        <w:t xml:space="preserve"> whenever the County issues a permit for a new well that, through the extraction of groundwater interconnected with the Scott River’s surface waters, may substantially impair the Scott </w:t>
      </w:r>
      <w:r w:rsidR="00D8061E">
        <w:rPr>
          <w:rFonts w:cs="Arial"/>
          <w:szCs w:val="24"/>
        </w:rPr>
        <w:t xml:space="preserve">River’s public trust resources; and </w:t>
      </w:r>
      <w:r w:rsidR="00D8061E" w:rsidRPr="00D8061E">
        <w:rPr>
          <w:rFonts w:cs="Arial"/>
          <w:szCs w:val="24"/>
        </w:rPr>
        <w:t xml:space="preserve"> </w:t>
      </w:r>
    </w:p>
    <w:p w14:paraId="715EA3A4" w14:textId="5F09B605" w:rsidR="00D8061E" w:rsidRDefault="00D8061E" w:rsidP="00D8061E">
      <w:pPr>
        <w:ind w:firstLine="720"/>
        <w:rPr>
          <w:rFonts w:cs="Arial"/>
          <w:szCs w:val="24"/>
        </w:rPr>
      </w:pPr>
      <w:r>
        <w:rPr>
          <w:rFonts w:cs="Arial"/>
          <w:szCs w:val="24"/>
        </w:rPr>
        <w:t xml:space="preserve">WHEREAS, the Siskiyou County Community Development Department, Environmental Health Division and </w:t>
      </w:r>
      <w:r w:rsidR="00BB1DB3">
        <w:rPr>
          <w:rFonts w:cs="Arial"/>
          <w:szCs w:val="24"/>
        </w:rPr>
        <w:t xml:space="preserve">the </w:t>
      </w:r>
      <w:r w:rsidR="00E56A75">
        <w:rPr>
          <w:rFonts w:cs="Arial"/>
          <w:szCs w:val="24"/>
        </w:rPr>
        <w:t>Siskiyou County Administrator’s</w:t>
      </w:r>
      <w:r>
        <w:rPr>
          <w:rFonts w:cs="Arial"/>
          <w:szCs w:val="24"/>
        </w:rPr>
        <w:t xml:space="preserve"> Natural Resources Division have</w:t>
      </w:r>
      <w:r w:rsidRPr="00D8061E">
        <w:rPr>
          <w:rFonts w:cs="Arial"/>
          <w:szCs w:val="24"/>
        </w:rPr>
        <w:t xml:space="preserve"> committed </w:t>
      </w:r>
      <w:r>
        <w:rPr>
          <w:rFonts w:cs="Arial"/>
          <w:szCs w:val="24"/>
        </w:rPr>
        <w:t xml:space="preserve">themselves to meeting the County’s </w:t>
      </w:r>
      <w:r w:rsidRPr="00D8061E">
        <w:rPr>
          <w:rFonts w:cs="Arial"/>
          <w:szCs w:val="24"/>
        </w:rPr>
        <w:t xml:space="preserve">newly identified public trust obligation </w:t>
      </w:r>
      <w:r>
        <w:rPr>
          <w:rFonts w:cs="Arial"/>
          <w:szCs w:val="24"/>
        </w:rPr>
        <w:t xml:space="preserve">and have been working </w:t>
      </w:r>
      <w:r w:rsidR="00E56A75">
        <w:rPr>
          <w:rFonts w:cs="Arial"/>
          <w:szCs w:val="24"/>
        </w:rPr>
        <w:t>with environmental consultants</w:t>
      </w:r>
      <w:r w:rsidR="00E94207">
        <w:rPr>
          <w:rFonts w:cs="Arial"/>
          <w:szCs w:val="24"/>
        </w:rPr>
        <w:t>, Larry Walker Associates (“LWA”),</w:t>
      </w:r>
      <w:r w:rsidR="00E56A75">
        <w:rPr>
          <w:rFonts w:cs="Arial"/>
          <w:szCs w:val="24"/>
        </w:rPr>
        <w:t xml:space="preserve"> </w:t>
      </w:r>
      <w:r>
        <w:rPr>
          <w:rFonts w:cs="Arial"/>
          <w:szCs w:val="24"/>
        </w:rPr>
        <w:t xml:space="preserve">to identify </w:t>
      </w:r>
      <w:r w:rsidRPr="00D8061E">
        <w:rPr>
          <w:rFonts w:cs="Arial"/>
          <w:szCs w:val="24"/>
        </w:rPr>
        <w:t>interim sol</w:t>
      </w:r>
      <w:r>
        <w:rPr>
          <w:rFonts w:cs="Arial"/>
          <w:szCs w:val="24"/>
        </w:rPr>
        <w:t>utions for</w:t>
      </w:r>
      <w:r w:rsidRPr="00D8061E">
        <w:rPr>
          <w:rFonts w:cs="Arial"/>
          <w:szCs w:val="24"/>
        </w:rPr>
        <w:t xml:space="preserve"> </w:t>
      </w:r>
      <w:r w:rsidR="00E56A75">
        <w:rPr>
          <w:rFonts w:cs="Arial"/>
          <w:szCs w:val="24"/>
        </w:rPr>
        <w:t xml:space="preserve">obtaining </w:t>
      </w:r>
      <w:r w:rsidRPr="00D8061E">
        <w:rPr>
          <w:rFonts w:cs="Arial"/>
          <w:szCs w:val="24"/>
        </w:rPr>
        <w:t>dat</w:t>
      </w:r>
      <w:r>
        <w:rPr>
          <w:rFonts w:cs="Arial"/>
          <w:szCs w:val="24"/>
        </w:rPr>
        <w:t>a about the Scott Valley</w:t>
      </w:r>
      <w:r w:rsidR="00E94207">
        <w:rPr>
          <w:rFonts w:cs="Arial"/>
          <w:szCs w:val="24"/>
        </w:rPr>
        <w:t>’s</w:t>
      </w:r>
      <w:r w:rsidRPr="00D8061E">
        <w:rPr>
          <w:rFonts w:cs="Arial"/>
          <w:szCs w:val="24"/>
        </w:rPr>
        <w:t xml:space="preserve"> hydrology to inform</w:t>
      </w:r>
      <w:r>
        <w:rPr>
          <w:rFonts w:cs="Arial"/>
          <w:szCs w:val="24"/>
        </w:rPr>
        <w:t xml:space="preserve"> well permitting decisions; and</w:t>
      </w:r>
    </w:p>
    <w:p w14:paraId="52EFD77B" w14:textId="2D1C0718" w:rsidR="00E94207" w:rsidRDefault="00D8061E" w:rsidP="00D8061E">
      <w:pPr>
        <w:ind w:firstLine="720"/>
        <w:rPr>
          <w:rFonts w:cs="Arial"/>
          <w:szCs w:val="24"/>
        </w:rPr>
      </w:pPr>
      <w:r>
        <w:rPr>
          <w:rFonts w:cs="Arial"/>
          <w:szCs w:val="24"/>
        </w:rPr>
        <w:t xml:space="preserve">WHEREAS, </w:t>
      </w:r>
      <w:r w:rsidR="00E94207" w:rsidRPr="00E94207">
        <w:rPr>
          <w:rFonts w:cs="Arial"/>
          <w:szCs w:val="24"/>
        </w:rPr>
        <w:t>in May of</w:t>
      </w:r>
      <w:r w:rsidR="00E94207">
        <w:rPr>
          <w:rFonts w:cs="Arial"/>
          <w:szCs w:val="24"/>
        </w:rPr>
        <w:t xml:space="preserve"> 2021, LWA</w:t>
      </w:r>
      <w:r w:rsidR="00E94207" w:rsidRPr="00E94207">
        <w:rPr>
          <w:rFonts w:cs="Arial"/>
          <w:szCs w:val="24"/>
        </w:rPr>
        <w:t xml:space="preserve"> introduced the Board and the public to a hydrologic modeling tool that LWA developed to inform well permitting decisions in the Scott Valley and to help the Environmental Health Division </w:t>
      </w:r>
      <w:r w:rsidR="00BB1DB3">
        <w:rPr>
          <w:rFonts w:cs="Arial"/>
          <w:szCs w:val="24"/>
        </w:rPr>
        <w:t xml:space="preserve">and Natural Resources Division </w:t>
      </w:r>
      <w:r w:rsidR="00E94207" w:rsidRPr="00E94207">
        <w:rPr>
          <w:rFonts w:cs="Arial"/>
          <w:szCs w:val="24"/>
        </w:rPr>
        <w:t>evaluate potential public tr</w:t>
      </w:r>
      <w:r w:rsidR="00E94207">
        <w:rPr>
          <w:rFonts w:cs="Arial"/>
          <w:szCs w:val="24"/>
        </w:rPr>
        <w:t>ust impacts to the Scott River; and</w:t>
      </w:r>
    </w:p>
    <w:p w14:paraId="1AE47C56" w14:textId="6AA7873F" w:rsidR="00E94207" w:rsidRDefault="00E94207" w:rsidP="00D8061E">
      <w:pPr>
        <w:ind w:firstLine="720"/>
        <w:rPr>
          <w:rFonts w:cs="Arial"/>
          <w:szCs w:val="24"/>
        </w:rPr>
      </w:pPr>
      <w:r>
        <w:rPr>
          <w:rFonts w:cs="Arial"/>
          <w:szCs w:val="24"/>
        </w:rPr>
        <w:t xml:space="preserve">WHEREAS, </w:t>
      </w:r>
      <w:r w:rsidRPr="00E94207">
        <w:rPr>
          <w:rFonts w:cs="Arial"/>
          <w:szCs w:val="24"/>
        </w:rPr>
        <w:t>LWA has modeled various pumping scenari</w:t>
      </w:r>
      <w:r w:rsidR="007C6018">
        <w:rPr>
          <w:rFonts w:cs="Arial"/>
          <w:szCs w:val="24"/>
        </w:rPr>
        <w:t xml:space="preserve">os </w:t>
      </w:r>
      <w:r w:rsidR="00BB1DB3">
        <w:rPr>
          <w:rFonts w:cs="Arial"/>
          <w:szCs w:val="24"/>
        </w:rPr>
        <w:t xml:space="preserve">across the watershed </w:t>
      </w:r>
      <w:r w:rsidR="007C6018">
        <w:rPr>
          <w:rFonts w:cs="Arial"/>
          <w:szCs w:val="24"/>
        </w:rPr>
        <w:t>using its tool, which has</w:t>
      </w:r>
      <w:r w:rsidRPr="00E94207">
        <w:rPr>
          <w:rFonts w:cs="Arial"/>
          <w:szCs w:val="24"/>
        </w:rPr>
        <w:t xml:space="preserve"> resulted in a series of maps that delineate color-coded impact zo</w:t>
      </w:r>
      <w:r>
        <w:rPr>
          <w:rFonts w:cs="Arial"/>
          <w:szCs w:val="24"/>
        </w:rPr>
        <w:t>nes surrounding the Scott River; and</w:t>
      </w:r>
    </w:p>
    <w:p w14:paraId="52776FFA" w14:textId="77777777" w:rsidR="00E94207" w:rsidRDefault="00E94207" w:rsidP="00D8061E">
      <w:pPr>
        <w:ind w:firstLine="720"/>
        <w:rPr>
          <w:rFonts w:cs="Arial"/>
          <w:szCs w:val="24"/>
        </w:rPr>
      </w:pPr>
      <w:r>
        <w:rPr>
          <w:rFonts w:cs="Arial"/>
          <w:szCs w:val="24"/>
        </w:rPr>
        <w:t>WHEREAS,</w:t>
      </w:r>
      <w:r w:rsidRPr="00E94207">
        <w:t xml:space="preserve"> </w:t>
      </w:r>
      <w:r>
        <w:rPr>
          <w:rFonts w:cs="Arial"/>
          <w:szCs w:val="24"/>
        </w:rPr>
        <w:t>t</w:t>
      </w:r>
      <w:r w:rsidRPr="00E94207">
        <w:rPr>
          <w:rFonts w:cs="Arial"/>
          <w:szCs w:val="24"/>
        </w:rPr>
        <w:t>hese maps model impacts from the pumping of either a new domestic well or a new agricultural well in either a year with average flows or in a dry year using data collected over a twenty-year period from 1991-2011</w:t>
      </w:r>
      <w:r>
        <w:rPr>
          <w:rFonts w:cs="Arial"/>
          <w:szCs w:val="24"/>
        </w:rPr>
        <w:t>; and</w:t>
      </w:r>
    </w:p>
    <w:p w14:paraId="717490CB" w14:textId="0A51FEED" w:rsidR="00E94207" w:rsidRDefault="00E94207" w:rsidP="00D8061E">
      <w:pPr>
        <w:ind w:firstLine="720"/>
        <w:rPr>
          <w:rFonts w:cs="Arial"/>
          <w:szCs w:val="24"/>
        </w:rPr>
      </w:pPr>
      <w:r>
        <w:rPr>
          <w:rFonts w:cs="Arial"/>
          <w:szCs w:val="24"/>
        </w:rPr>
        <w:t xml:space="preserve">WHEREAS, LWA’s modeling </w:t>
      </w:r>
      <w:r w:rsidR="00BB1DB3">
        <w:rPr>
          <w:rFonts w:cs="Arial"/>
          <w:szCs w:val="24"/>
        </w:rPr>
        <w:t xml:space="preserve">evidences that </w:t>
      </w:r>
      <w:r>
        <w:rPr>
          <w:rFonts w:cs="Arial"/>
          <w:szCs w:val="24"/>
        </w:rPr>
        <w:t>new domestic well</w:t>
      </w:r>
      <w:r w:rsidR="00BB1DB3">
        <w:rPr>
          <w:rFonts w:cs="Arial"/>
          <w:szCs w:val="24"/>
        </w:rPr>
        <w:t>s, that are placed</w:t>
      </w:r>
      <w:r>
        <w:rPr>
          <w:rFonts w:cs="Arial"/>
          <w:szCs w:val="24"/>
        </w:rPr>
        <w:t xml:space="preserve"> outside of the </w:t>
      </w:r>
      <w:r w:rsidR="00BB1DB3">
        <w:rPr>
          <w:rFonts w:cs="Arial"/>
          <w:szCs w:val="24"/>
        </w:rPr>
        <w:t xml:space="preserve">immediate </w:t>
      </w:r>
      <w:r>
        <w:rPr>
          <w:rFonts w:cs="Arial"/>
          <w:szCs w:val="24"/>
        </w:rPr>
        <w:t>river corridor</w:t>
      </w:r>
      <w:r w:rsidR="00BB1DB3">
        <w:rPr>
          <w:rFonts w:cs="Arial"/>
          <w:szCs w:val="24"/>
        </w:rPr>
        <w:t xml:space="preserve">, </w:t>
      </w:r>
      <w:r>
        <w:rPr>
          <w:rFonts w:cs="Arial"/>
          <w:szCs w:val="24"/>
        </w:rPr>
        <w:t xml:space="preserve">will </w:t>
      </w:r>
      <w:r w:rsidRPr="00E94207">
        <w:rPr>
          <w:rFonts w:cs="Arial"/>
          <w:szCs w:val="24"/>
        </w:rPr>
        <w:t>not substantial</w:t>
      </w:r>
      <w:r>
        <w:rPr>
          <w:rFonts w:cs="Arial"/>
          <w:szCs w:val="24"/>
        </w:rPr>
        <w:t xml:space="preserve">ly impair or interfere with </w:t>
      </w:r>
      <w:r w:rsidRPr="00E94207">
        <w:rPr>
          <w:rFonts w:cs="Arial"/>
          <w:szCs w:val="24"/>
        </w:rPr>
        <w:t xml:space="preserve">public trust uses or values within </w:t>
      </w:r>
      <w:r>
        <w:rPr>
          <w:rFonts w:cs="Arial"/>
          <w:szCs w:val="24"/>
        </w:rPr>
        <w:t>interconnected navigable waters; and</w:t>
      </w:r>
    </w:p>
    <w:p w14:paraId="5AE5FB14" w14:textId="27C07F06" w:rsidR="00BB1DB3" w:rsidRDefault="00F9575C" w:rsidP="00BB1DB3">
      <w:pPr>
        <w:ind w:firstLine="720"/>
        <w:rPr>
          <w:rFonts w:cs="Arial"/>
          <w:szCs w:val="24"/>
        </w:rPr>
      </w:pPr>
      <w:r>
        <w:rPr>
          <w:rFonts w:cs="Arial"/>
          <w:szCs w:val="24"/>
        </w:rPr>
        <w:t>WHEREAS</w:t>
      </w:r>
      <w:r w:rsidR="00164B6F">
        <w:rPr>
          <w:rFonts w:cs="Arial"/>
          <w:szCs w:val="24"/>
        </w:rPr>
        <w:t xml:space="preserve">, </w:t>
      </w:r>
      <w:r w:rsidR="00E67718" w:rsidRPr="00E67718">
        <w:rPr>
          <w:rFonts w:cs="Arial"/>
          <w:szCs w:val="24"/>
        </w:rPr>
        <w:t>the</w:t>
      </w:r>
      <w:r w:rsidR="00BB1DB3">
        <w:rPr>
          <w:rFonts w:cs="Arial"/>
          <w:szCs w:val="24"/>
        </w:rPr>
        <w:t>re is a</w:t>
      </w:r>
      <w:r w:rsidR="00E67718" w:rsidRPr="00E67718">
        <w:rPr>
          <w:rFonts w:cs="Arial"/>
          <w:szCs w:val="24"/>
        </w:rPr>
        <w:t xml:space="preserve"> high degree of groundwater aquifer recharge associated with house</w:t>
      </w:r>
      <w:r w:rsidR="00BB1DB3">
        <w:rPr>
          <w:rFonts w:cs="Arial"/>
          <w:szCs w:val="24"/>
        </w:rPr>
        <w:t xml:space="preserve">hold water use (recycling); and </w:t>
      </w:r>
    </w:p>
    <w:p w14:paraId="29475BC4" w14:textId="26828106" w:rsidR="00164B6F" w:rsidRDefault="00BB1DB3" w:rsidP="00BB1DB3">
      <w:pPr>
        <w:ind w:firstLine="720"/>
        <w:rPr>
          <w:rFonts w:cs="Arial"/>
          <w:szCs w:val="24"/>
        </w:rPr>
      </w:pPr>
      <w:r>
        <w:rPr>
          <w:rFonts w:cs="Arial"/>
          <w:szCs w:val="24"/>
        </w:rPr>
        <w:t xml:space="preserve">WHEREAS, </w:t>
      </w:r>
      <w:r w:rsidR="00E67718" w:rsidRPr="00E67718">
        <w:rPr>
          <w:rFonts w:cs="Arial"/>
          <w:szCs w:val="24"/>
        </w:rPr>
        <w:t>the</w:t>
      </w:r>
      <w:r>
        <w:rPr>
          <w:rFonts w:cs="Arial"/>
          <w:szCs w:val="24"/>
        </w:rPr>
        <w:t>re is an</w:t>
      </w:r>
      <w:r w:rsidR="00E67718" w:rsidRPr="00E67718">
        <w:rPr>
          <w:rFonts w:cs="Arial"/>
          <w:szCs w:val="24"/>
        </w:rPr>
        <w:t xml:space="preserve"> overall limited volume of groundwater extracted from domestic water wells; and</w:t>
      </w:r>
    </w:p>
    <w:p w14:paraId="2AC0FB4A" w14:textId="60FEDFAD" w:rsidR="00E67718" w:rsidRPr="00E67718" w:rsidRDefault="00BB1DB3" w:rsidP="00164B6F">
      <w:pPr>
        <w:ind w:firstLine="720"/>
        <w:rPr>
          <w:rFonts w:cs="Arial"/>
          <w:szCs w:val="24"/>
        </w:rPr>
      </w:pPr>
      <w:r>
        <w:rPr>
          <w:rFonts w:cs="Arial"/>
          <w:szCs w:val="24"/>
        </w:rPr>
        <w:t xml:space="preserve">WHEREAS, </w:t>
      </w:r>
      <w:r w:rsidR="00E67718" w:rsidRPr="00E67718">
        <w:rPr>
          <w:rFonts w:cs="Arial"/>
          <w:szCs w:val="24"/>
        </w:rPr>
        <w:t>the majority of domestic wells are located on the margins of the valley where geologic water bearing stratigraphy has reduced hydraulic conductivity and influence on Scott River and its trust resources; and</w:t>
      </w:r>
    </w:p>
    <w:p w14:paraId="61736382" w14:textId="12854703" w:rsidR="00035D1D" w:rsidRDefault="00BB1DB3" w:rsidP="00BB1DB3">
      <w:pPr>
        <w:ind w:firstLine="720"/>
        <w:rPr>
          <w:rFonts w:cs="Arial"/>
          <w:szCs w:val="24"/>
        </w:rPr>
      </w:pPr>
      <w:r>
        <w:rPr>
          <w:rFonts w:cs="Arial"/>
          <w:szCs w:val="24"/>
        </w:rPr>
        <w:t>WHEREAS,</w:t>
      </w:r>
      <w:r w:rsidR="00E67718" w:rsidRPr="00E67718">
        <w:rPr>
          <w:rFonts w:cs="Arial"/>
          <w:szCs w:val="24"/>
        </w:rPr>
        <w:t xml:space="preserve"> the limits of development within the </w:t>
      </w:r>
      <w:r w:rsidR="00045F11">
        <w:rPr>
          <w:rFonts w:cs="Arial"/>
          <w:szCs w:val="24"/>
        </w:rPr>
        <w:t>Scott V</w:t>
      </w:r>
      <w:r w:rsidR="00E67718" w:rsidRPr="00E67718">
        <w:rPr>
          <w:rFonts w:cs="Arial"/>
          <w:szCs w:val="24"/>
        </w:rPr>
        <w:t>alley based on density restrictions in</w:t>
      </w:r>
      <w:r>
        <w:rPr>
          <w:rFonts w:cs="Arial"/>
          <w:szCs w:val="24"/>
        </w:rPr>
        <w:t xml:space="preserve"> the Scott Valley specific plan further limit the potential impact on public trust uses or values </w:t>
      </w:r>
      <w:r w:rsidR="00045F11" w:rsidRPr="00045F11">
        <w:rPr>
          <w:rFonts w:cs="Arial"/>
          <w:szCs w:val="24"/>
        </w:rPr>
        <w:t>f</w:t>
      </w:r>
      <w:r w:rsidR="00045F11">
        <w:rPr>
          <w:rFonts w:cs="Arial"/>
          <w:szCs w:val="24"/>
        </w:rPr>
        <w:t>rom</w:t>
      </w:r>
      <w:r w:rsidR="00045F11" w:rsidRPr="00045F11">
        <w:rPr>
          <w:rFonts w:cs="Arial"/>
          <w:szCs w:val="24"/>
        </w:rPr>
        <w:t xml:space="preserve"> domestic wells in the Scott Valley</w:t>
      </w:r>
      <w:r>
        <w:rPr>
          <w:rFonts w:cs="Arial"/>
          <w:szCs w:val="24"/>
        </w:rPr>
        <w:t xml:space="preserve">; and  </w:t>
      </w:r>
    </w:p>
    <w:p w14:paraId="702F82EC" w14:textId="0967BAFB" w:rsidR="006C1E97" w:rsidRDefault="00411BCD" w:rsidP="00DF23E0">
      <w:pPr>
        <w:ind w:firstLine="720"/>
      </w:pPr>
      <w:r>
        <w:t xml:space="preserve">WHEREAS, </w:t>
      </w:r>
      <w:r w:rsidR="00BB1DB3">
        <w:t>in considering impacts to public trust resources from domestic wells the Board held a public hearing across multiple days and received</w:t>
      </w:r>
      <w:r w:rsidR="00A63F3F">
        <w:t xml:space="preserve"> </w:t>
      </w:r>
      <w:r w:rsidR="00045F11">
        <w:t xml:space="preserve">and considered </w:t>
      </w:r>
      <w:r w:rsidR="00A63F3F">
        <w:t>public comment</w:t>
      </w:r>
      <w:r w:rsidR="00BB1DB3">
        <w:t xml:space="preserve"> from interested members of the public</w:t>
      </w:r>
      <w:r w:rsidR="00A63F3F">
        <w:t>,</w:t>
      </w:r>
      <w:r w:rsidR="00BB1DB3">
        <w:t xml:space="preserve"> and </w:t>
      </w:r>
      <w:r w:rsidR="00045F11">
        <w:t xml:space="preserve">then </w:t>
      </w:r>
      <w:r w:rsidR="00902FE0">
        <w:t>closed the public hearing; and</w:t>
      </w:r>
    </w:p>
    <w:p w14:paraId="4033673D" w14:textId="1B04E74E" w:rsidR="00902FE0" w:rsidRDefault="00902FE0" w:rsidP="00902FE0">
      <w:pPr>
        <w:ind w:firstLine="720"/>
      </w:pPr>
      <w:r>
        <w:t xml:space="preserve">WHEREAS, contrasting with domestic wells, LWA’s modeling suggests that new agricultural wells in the Scott Valley could create significant additional consumptive use in the watershed that needs to be evaluated more thoroughly for potential impact on public trust uses or values within interconnected navigable waters; and </w:t>
      </w:r>
    </w:p>
    <w:p w14:paraId="6B7CDA31" w14:textId="029505FE" w:rsidR="00902FE0" w:rsidRDefault="00902FE0" w:rsidP="00902FE0">
      <w:pPr>
        <w:ind w:firstLine="720"/>
      </w:pPr>
      <w:r>
        <w:t>WHEREAS, the Board desires to direct staff to bring forward an interim ordinance that would implement a moratorium on new agricultural well applications and agricultural well permits in the Scott Valley, excepting when an agricultural well applicant is able to show no new “consumptive use effects” from a proposed agricultural well.</w:t>
      </w:r>
    </w:p>
    <w:p w14:paraId="4F932725" w14:textId="74F9EBC4" w:rsidR="00A40101" w:rsidRPr="00BB1DB3" w:rsidRDefault="00E6635D" w:rsidP="00BB1DB3">
      <w:pPr>
        <w:ind w:firstLine="720"/>
      </w:pPr>
      <w:r>
        <w:t xml:space="preserve">NOW, THEREFORE, BE IT RESOLVED that the Siskiyou County Board of </w:t>
      </w:r>
      <w:r w:rsidRPr="00164B6F">
        <w:rPr>
          <w:rFonts w:cs="Arial"/>
          <w:szCs w:val="24"/>
        </w:rPr>
        <w:t>Supervisors</w:t>
      </w:r>
      <w:r w:rsidR="00A40101" w:rsidRPr="00164B6F">
        <w:rPr>
          <w:rFonts w:cs="Arial"/>
          <w:szCs w:val="24"/>
        </w:rPr>
        <w:t xml:space="preserve"> that:</w:t>
      </w:r>
    </w:p>
    <w:p w14:paraId="2E75E62D" w14:textId="75357E1A" w:rsidR="00E67718" w:rsidRPr="00164B6F" w:rsidRDefault="00E67718" w:rsidP="00E67718">
      <w:pPr>
        <w:pStyle w:val="ListParagraph"/>
        <w:numPr>
          <w:ilvl w:val="0"/>
          <w:numId w:val="3"/>
        </w:numPr>
        <w:rPr>
          <w:rFonts w:cs="Arial"/>
          <w:szCs w:val="24"/>
        </w:rPr>
      </w:pPr>
      <w:r w:rsidRPr="00164B6F">
        <w:rPr>
          <w:rFonts w:cs="Arial"/>
          <w:szCs w:val="24"/>
        </w:rPr>
        <w:t xml:space="preserve">The </w:t>
      </w:r>
      <w:r w:rsidR="007C6018" w:rsidRPr="00164B6F">
        <w:rPr>
          <w:rFonts w:cs="Arial"/>
          <w:szCs w:val="24"/>
        </w:rPr>
        <w:t xml:space="preserve">Board finds the </w:t>
      </w:r>
      <w:r w:rsidRPr="00164B6F">
        <w:rPr>
          <w:rFonts w:cs="Arial"/>
          <w:szCs w:val="24"/>
        </w:rPr>
        <w:t>above recitals a</w:t>
      </w:r>
      <w:r w:rsidR="007C6018" w:rsidRPr="00164B6F">
        <w:rPr>
          <w:rFonts w:cs="Arial"/>
          <w:szCs w:val="24"/>
        </w:rPr>
        <w:t>re</w:t>
      </w:r>
      <w:r w:rsidRPr="00164B6F">
        <w:rPr>
          <w:rFonts w:cs="Arial"/>
          <w:szCs w:val="24"/>
        </w:rPr>
        <w:t xml:space="preserve"> true and correct</w:t>
      </w:r>
      <w:r w:rsidR="00EE2594">
        <w:rPr>
          <w:rFonts w:cs="Arial"/>
          <w:szCs w:val="24"/>
        </w:rPr>
        <w:t xml:space="preserve"> and incorporates them herein</w:t>
      </w:r>
      <w:r w:rsidRPr="00164B6F">
        <w:rPr>
          <w:rFonts w:cs="Arial"/>
          <w:szCs w:val="24"/>
        </w:rPr>
        <w:t>.</w:t>
      </w:r>
    </w:p>
    <w:p w14:paraId="120CA520" w14:textId="7A3DEEAD" w:rsidR="00A068C1" w:rsidRPr="00164B6F" w:rsidRDefault="00E67718" w:rsidP="00E67718">
      <w:pPr>
        <w:pStyle w:val="ListParagraph"/>
        <w:numPr>
          <w:ilvl w:val="0"/>
          <w:numId w:val="3"/>
        </w:numPr>
        <w:rPr>
          <w:rFonts w:cs="Arial"/>
          <w:szCs w:val="24"/>
        </w:rPr>
      </w:pPr>
      <w:r w:rsidRPr="00164B6F">
        <w:rPr>
          <w:rFonts w:cs="Arial"/>
          <w:szCs w:val="24"/>
        </w:rPr>
        <w:t xml:space="preserve">The Board finds that </w:t>
      </w:r>
      <w:r w:rsidRPr="00164B6F">
        <w:rPr>
          <w:rFonts w:eastAsia="+mn-ea" w:cs="Arial"/>
          <w:color w:val="000000"/>
          <w:kern w:val="24"/>
          <w:szCs w:val="24"/>
        </w:rPr>
        <w:t>pumping from existing and future domestic well sites in the Scott Valley watershed in reasonably foreseeable domestic volumes will not substantially impair or interfere with public trust uses or values within interconnected downstream navigable waters, including the Scott Rive</w:t>
      </w:r>
      <w:r w:rsidR="00A068C1" w:rsidRPr="00164B6F">
        <w:rPr>
          <w:rFonts w:eastAsia="+mn-ea" w:cs="Arial"/>
          <w:color w:val="000000"/>
          <w:kern w:val="24"/>
          <w:szCs w:val="24"/>
        </w:rPr>
        <w:t>r.</w:t>
      </w:r>
      <w:r w:rsidRPr="00164B6F">
        <w:rPr>
          <w:rFonts w:eastAsia="+mn-ea" w:cs="Arial"/>
          <w:color w:val="000000"/>
          <w:kern w:val="24"/>
          <w:szCs w:val="24"/>
        </w:rPr>
        <w:t xml:space="preserve"> </w:t>
      </w:r>
    </w:p>
    <w:p w14:paraId="5039FE53" w14:textId="3288D193" w:rsidR="00A068C1" w:rsidRPr="00164B6F" w:rsidRDefault="00A068C1" w:rsidP="00E67718">
      <w:pPr>
        <w:pStyle w:val="ListParagraph"/>
        <w:numPr>
          <w:ilvl w:val="0"/>
          <w:numId w:val="3"/>
        </w:numPr>
        <w:rPr>
          <w:rFonts w:cs="Arial"/>
          <w:szCs w:val="24"/>
        </w:rPr>
      </w:pPr>
      <w:r w:rsidRPr="00164B6F">
        <w:rPr>
          <w:rFonts w:eastAsia="+mn-ea" w:cs="Arial"/>
          <w:color w:val="000000"/>
          <w:kern w:val="24"/>
          <w:szCs w:val="24"/>
        </w:rPr>
        <w:t>The Board directs that</w:t>
      </w:r>
      <w:r w:rsidR="00E67718" w:rsidRPr="00164B6F">
        <w:rPr>
          <w:rFonts w:eastAsia="+mn-ea" w:cs="Arial"/>
          <w:color w:val="000000"/>
          <w:kern w:val="24"/>
          <w:szCs w:val="24"/>
        </w:rPr>
        <w:t xml:space="preserve"> </w:t>
      </w:r>
      <w:r w:rsidR="00A63F3F" w:rsidRPr="00164B6F">
        <w:rPr>
          <w:rFonts w:eastAsia="+mn-ea" w:cs="Arial"/>
          <w:color w:val="000000"/>
          <w:kern w:val="24"/>
          <w:szCs w:val="24"/>
        </w:rPr>
        <w:t>a standard</w:t>
      </w:r>
      <w:r w:rsidR="007C6018" w:rsidRPr="00164B6F">
        <w:rPr>
          <w:rFonts w:eastAsia="+mn-ea" w:cs="Arial"/>
          <w:color w:val="000000"/>
          <w:kern w:val="24"/>
          <w:szCs w:val="24"/>
        </w:rPr>
        <w:t xml:space="preserve"> and uniform</w:t>
      </w:r>
      <w:r w:rsidR="00A63F3F" w:rsidRPr="00164B6F">
        <w:rPr>
          <w:rFonts w:eastAsia="+mn-ea" w:cs="Arial"/>
          <w:color w:val="000000"/>
          <w:kern w:val="24"/>
          <w:szCs w:val="24"/>
        </w:rPr>
        <w:t xml:space="preserve"> </w:t>
      </w:r>
      <w:r w:rsidR="00E67718" w:rsidRPr="00164B6F">
        <w:rPr>
          <w:rFonts w:eastAsia="+mn-ea" w:cs="Arial"/>
          <w:color w:val="000000"/>
          <w:kern w:val="24"/>
          <w:szCs w:val="24"/>
        </w:rPr>
        <w:t>domestic use limitation</w:t>
      </w:r>
      <w:r w:rsidR="007C6018" w:rsidRPr="00164B6F">
        <w:rPr>
          <w:rFonts w:eastAsia="+mn-ea" w:cs="Arial"/>
          <w:color w:val="000000"/>
          <w:kern w:val="24"/>
          <w:szCs w:val="24"/>
        </w:rPr>
        <w:t xml:space="preserve"> condition</w:t>
      </w:r>
      <w:r w:rsidR="00E67718" w:rsidRPr="00164B6F">
        <w:rPr>
          <w:rFonts w:eastAsia="+mn-ea" w:cs="Arial"/>
          <w:color w:val="000000"/>
          <w:kern w:val="24"/>
          <w:szCs w:val="24"/>
        </w:rPr>
        <w:t xml:space="preserve"> be imposed on domestic well installations to avoid or lessen any possible impairment or interference with downstream publ</w:t>
      </w:r>
      <w:r w:rsidRPr="00164B6F">
        <w:rPr>
          <w:rFonts w:eastAsia="+mn-ea" w:cs="Arial"/>
          <w:color w:val="000000"/>
          <w:kern w:val="24"/>
          <w:szCs w:val="24"/>
        </w:rPr>
        <w:t>ic trust uses or values.</w:t>
      </w:r>
    </w:p>
    <w:p w14:paraId="193A1591" w14:textId="5A5A36A8" w:rsidR="00E67718" w:rsidRPr="00164B6F" w:rsidRDefault="00A068C1" w:rsidP="00E67718">
      <w:pPr>
        <w:pStyle w:val="ListParagraph"/>
        <w:numPr>
          <w:ilvl w:val="0"/>
          <w:numId w:val="3"/>
        </w:numPr>
        <w:rPr>
          <w:rFonts w:cs="Arial"/>
          <w:szCs w:val="24"/>
        </w:rPr>
      </w:pPr>
      <w:r w:rsidRPr="00164B6F">
        <w:rPr>
          <w:rFonts w:eastAsia="+mn-ea" w:cs="Arial"/>
          <w:color w:val="000000"/>
          <w:kern w:val="24"/>
          <w:szCs w:val="24"/>
        </w:rPr>
        <w:t xml:space="preserve">The Board finds that </w:t>
      </w:r>
      <w:r w:rsidR="00E67718" w:rsidRPr="00164B6F">
        <w:rPr>
          <w:rFonts w:eastAsia="+mn-ea" w:cs="Arial"/>
          <w:color w:val="000000"/>
          <w:kern w:val="24"/>
          <w:szCs w:val="24"/>
        </w:rPr>
        <w:t xml:space="preserve">to the extent a proposed domestic well may ultimately contribute to cumulative reductions in surface waters in downstream navigable waters, the production of groundwater for drinking, bathing, cooking, and other domestic uses on parcels in the </w:t>
      </w:r>
      <w:r w:rsidR="00A63F3F" w:rsidRPr="00164B6F">
        <w:rPr>
          <w:rFonts w:eastAsia="+mn-ea" w:cs="Arial"/>
          <w:color w:val="000000"/>
          <w:kern w:val="24"/>
          <w:szCs w:val="24"/>
        </w:rPr>
        <w:t>Scott V</w:t>
      </w:r>
      <w:r w:rsidR="00E67718" w:rsidRPr="00164B6F">
        <w:rPr>
          <w:rFonts w:eastAsia="+mn-ea" w:cs="Arial"/>
          <w:color w:val="000000"/>
          <w:kern w:val="24"/>
          <w:szCs w:val="24"/>
        </w:rPr>
        <w:t>alley is within the public inte</w:t>
      </w:r>
      <w:r w:rsidR="00A63F3F" w:rsidRPr="00164B6F">
        <w:rPr>
          <w:rFonts w:eastAsia="+mn-ea" w:cs="Arial"/>
          <w:color w:val="000000"/>
          <w:kern w:val="24"/>
          <w:szCs w:val="24"/>
        </w:rPr>
        <w:t>rest because</w:t>
      </w:r>
      <w:r w:rsidR="00E67718" w:rsidRPr="00164B6F">
        <w:rPr>
          <w:rFonts w:eastAsia="+mn-ea" w:cs="Arial"/>
          <w:color w:val="000000"/>
          <w:kern w:val="24"/>
          <w:szCs w:val="24"/>
        </w:rPr>
        <w:t xml:space="preserve"> these parcels hold inchoate unexercised groundwater rights intended to be put to beneficial use consistent with Article X, section 2 of the California Constitution. </w:t>
      </w:r>
    </w:p>
    <w:p w14:paraId="0BB7A30A" w14:textId="78CBA986" w:rsidR="00045F11" w:rsidRPr="00DF23E0" w:rsidRDefault="00A63F3F" w:rsidP="00DF23E0">
      <w:pPr>
        <w:pStyle w:val="ListParagraph"/>
        <w:numPr>
          <w:ilvl w:val="0"/>
          <w:numId w:val="3"/>
        </w:numPr>
        <w:rPr>
          <w:rFonts w:cs="Arial"/>
          <w:szCs w:val="24"/>
        </w:rPr>
      </w:pPr>
      <w:r w:rsidRPr="00164B6F">
        <w:rPr>
          <w:rFonts w:eastAsia="+mn-ea" w:cs="Arial"/>
          <w:color w:val="000000"/>
          <w:kern w:val="24"/>
          <w:szCs w:val="24"/>
        </w:rPr>
        <w:t xml:space="preserve">These findings </w:t>
      </w:r>
      <w:r w:rsidR="00BB1DB3">
        <w:rPr>
          <w:rFonts w:eastAsia="+mn-ea" w:cs="Arial"/>
          <w:color w:val="000000"/>
          <w:kern w:val="24"/>
          <w:szCs w:val="24"/>
        </w:rPr>
        <w:t xml:space="preserve">shall be included </w:t>
      </w:r>
      <w:r w:rsidRPr="00164B6F">
        <w:rPr>
          <w:rFonts w:eastAsia="+mn-ea" w:cs="Arial"/>
          <w:color w:val="000000"/>
          <w:kern w:val="24"/>
          <w:szCs w:val="24"/>
        </w:rPr>
        <w:t xml:space="preserve">the </w:t>
      </w:r>
      <w:r w:rsidR="00E67718" w:rsidRPr="00164B6F">
        <w:rPr>
          <w:rFonts w:eastAsia="+mn-ea" w:cs="Arial"/>
          <w:color w:val="000000"/>
          <w:kern w:val="24"/>
          <w:szCs w:val="24"/>
        </w:rPr>
        <w:t>Environmental Health Division’s</w:t>
      </w:r>
      <w:r w:rsidRPr="00164B6F">
        <w:rPr>
          <w:rFonts w:eastAsia="+mn-ea" w:cs="Arial"/>
          <w:color w:val="000000"/>
          <w:kern w:val="24"/>
          <w:szCs w:val="24"/>
        </w:rPr>
        <w:t xml:space="preserve"> ministerial</w:t>
      </w:r>
      <w:r w:rsidR="00E67718" w:rsidRPr="00164B6F">
        <w:rPr>
          <w:rFonts w:eastAsia="+mn-ea" w:cs="Arial"/>
          <w:color w:val="000000"/>
          <w:kern w:val="24"/>
          <w:szCs w:val="24"/>
        </w:rPr>
        <w:t xml:space="preserve"> issuanc</w:t>
      </w:r>
      <w:r w:rsidR="007C6018" w:rsidRPr="00164B6F">
        <w:rPr>
          <w:rFonts w:eastAsia="+mn-ea" w:cs="Arial"/>
          <w:color w:val="000000"/>
          <w:kern w:val="24"/>
          <w:szCs w:val="24"/>
        </w:rPr>
        <w:t xml:space="preserve">e of </w:t>
      </w:r>
      <w:r w:rsidR="00BB1DB3">
        <w:rPr>
          <w:rFonts w:eastAsia="+mn-ea" w:cs="Arial"/>
          <w:color w:val="000000"/>
          <w:kern w:val="24"/>
          <w:szCs w:val="24"/>
        </w:rPr>
        <w:t xml:space="preserve">individual </w:t>
      </w:r>
      <w:r w:rsidR="007C6018" w:rsidRPr="00164B6F">
        <w:rPr>
          <w:rFonts w:eastAsia="+mn-ea" w:cs="Arial"/>
          <w:color w:val="000000"/>
          <w:kern w:val="24"/>
          <w:szCs w:val="24"/>
        </w:rPr>
        <w:t>Scott Valley domestic water well permit</w:t>
      </w:r>
      <w:r w:rsidR="00BB1DB3">
        <w:rPr>
          <w:rFonts w:eastAsia="+mn-ea" w:cs="Arial"/>
          <w:color w:val="000000"/>
          <w:kern w:val="24"/>
          <w:szCs w:val="24"/>
        </w:rPr>
        <w:t>s</w:t>
      </w:r>
      <w:r w:rsidR="007C6018" w:rsidRPr="00164B6F">
        <w:rPr>
          <w:rFonts w:eastAsia="+mn-ea" w:cs="Arial"/>
          <w:color w:val="000000"/>
          <w:kern w:val="24"/>
          <w:szCs w:val="24"/>
        </w:rPr>
        <w:t xml:space="preserve"> </w:t>
      </w:r>
      <w:r w:rsidR="00742557" w:rsidRPr="00742557">
        <w:rPr>
          <w:rFonts w:eastAsia="+mn-ea" w:cs="Arial"/>
          <w:color w:val="000000"/>
          <w:kern w:val="24"/>
          <w:szCs w:val="24"/>
        </w:rPr>
        <w:t xml:space="preserve">outside of the immediate river corridor </w:t>
      </w:r>
      <w:r w:rsidR="007C6018" w:rsidRPr="00164B6F">
        <w:rPr>
          <w:rFonts w:eastAsia="+mn-ea" w:cs="Arial"/>
          <w:color w:val="000000"/>
          <w:kern w:val="24"/>
          <w:szCs w:val="24"/>
        </w:rPr>
        <w:t>as evidence of the County’s consideration of the impacts to public trust resources in the Scott River in its issuance of a permit for a new domestic well.</w:t>
      </w:r>
    </w:p>
    <w:p w14:paraId="2C03FCB6" w14:textId="44E3EFAD" w:rsidR="00DF23E0" w:rsidRDefault="00DF23E0" w:rsidP="00DF23E0">
      <w:pPr>
        <w:ind w:firstLine="720"/>
        <w:rPr>
          <w:rFonts w:cs="Arial"/>
          <w:szCs w:val="24"/>
        </w:rPr>
      </w:pPr>
      <w:r w:rsidRPr="00DF23E0">
        <w:rPr>
          <w:rFonts w:cs="Arial"/>
          <w:szCs w:val="24"/>
        </w:rPr>
        <w:t>BE IT FURTHER RESOLVED</w:t>
      </w:r>
      <w:r>
        <w:rPr>
          <w:rFonts w:cs="Arial"/>
          <w:szCs w:val="24"/>
        </w:rPr>
        <w:t xml:space="preserve"> that the </w:t>
      </w:r>
      <w:r w:rsidRPr="00DF23E0">
        <w:rPr>
          <w:rFonts w:cs="Arial"/>
          <w:szCs w:val="24"/>
        </w:rPr>
        <w:t>Environmental Health Division</w:t>
      </w:r>
      <w:r>
        <w:rPr>
          <w:rFonts w:cs="Arial"/>
          <w:szCs w:val="24"/>
        </w:rPr>
        <w:t xml:space="preserve"> is directed to bring forward an ordinance </w:t>
      </w:r>
      <w:r w:rsidR="00902FE0">
        <w:rPr>
          <w:rFonts w:cs="Arial"/>
          <w:szCs w:val="24"/>
        </w:rPr>
        <w:t xml:space="preserve">to </w:t>
      </w:r>
      <w:r w:rsidR="00902FE0" w:rsidRPr="00902FE0">
        <w:rPr>
          <w:rFonts w:cs="Arial"/>
          <w:szCs w:val="24"/>
        </w:rPr>
        <w:t>implement a moratorium on new agricultural well applications and agricultural well permits in the Scott Valley</w:t>
      </w:r>
      <w:r w:rsidR="00902FE0">
        <w:rPr>
          <w:rFonts w:cs="Arial"/>
          <w:szCs w:val="24"/>
        </w:rPr>
        <w:t>, subject to any staff recommended exceptions</w:t>
      </w:r>
      <w:r w:rsidR="0066420C">
        <w:rPr>
          <w:rFonts w:cs="Arial"/>
          <w:szCs w:val="24"/>
        </w:rPr>
        <w:t>, such as repairs, deepenings, replacements or applications that show no new consumptive use effects</w:t>
      </w:r>
      <w:r w:rsidR="00902FE0">
        <w:rPr>
          <w:rFonts w:cs="Arial"/>
          <w:szCs w:val="24"/>
        </w:rPr>
        <w:t>.</w:t>
      </w:r>
    </w:p>
    <w:p w14:paraId="7A8EDC27" w14:textId="18E72581" w:rsidR="00045F11" w:rsidRDefault="00045F11" w:rsidP="00DF23E0">
      <w:pPr>
        <w:ind w:firstLine="720"/>
        <w:rPr>
          <w:rFonts w:cs="Arial"/>
          <w:szCs w:val="24"/>
        </w:rPr>
      </w:pPr>
      <w:r w:rsidRPr="00045F11">
        <w:rPr>
          <w:rFonts w:cs="Arial"/>
          <w:szCs w:val="24"/>
        </w:rPr>
        <w:t xml:space="preserve">BE IT </w:t>
      </w:r>
      <w:r>
        <w:rPr>
          <w:rFonts w:cs="Arial"/>
          <w:szCs w:val="24"/>
        </w:rPr>
        <w:t xml:space="preserve">FURTHER </w:t>
      </w:r>
      <w:r w:rsidRPr="00045F11">
        <w:rPr>
          <w:rFonts w:cs="Arial"/>
          <w:szCs w:val="24"/>
        </w:rPr>
        <w:t>RESOLVED</w:t>
      </w:r>
      <w:r>
        <w:rPr>
          <w:rFonts w:cs="Arial"/>
          <w:szCs w:val="24"/>
        </w:rPr>
        <w:t xml:space="preserve"> that the Board directs the Natural Resources Division to continue to work towards identifying opportunities</w:t>
      </w:r>
      <w:r w:rsidRPr="00045F11">
        <w:rPr>
          <w:rFonts w:cs="Arial"/>
          <w:szCs w:val="24"/>
        </w:rPr>
        <w:t xml:space="preserve"> for the </w:t>
      </w:r>
      <w:r w:rsidR="00902FE0">
        <w:rPr>
          <w:rFonts w:cs="Arial"/>
          <w:szCs w:val="24"/>
        </w:rPr>
        <w:t xml:space="preserve">Siskiyou County </w:t>
      </w:r>
      <w:r w:rsidRPr="00045F11">
        <w:rPr>
          <w:rFonts w:cs="Arial"/>
          <w:szCs w:val="24"/>
        </w:rPr>
        <w:t xml:space="preserve">Flood District </w:t>
      </w:r>
      <w:r w:rsidR="00902FE0">
        <w:rPr>
          <w:rFonts w:cs="Arial"/>
          <w:szCs w:val="24"/>
        </w:rPr>
        <w:t xml:space="preserve">and Water Conservation District </w:t>
      </w:r>
      <w:r w:rsidRPr="00045F11">
        <w:rPr>
          <w:rFonts w:cs="Arial"/>
          <w:szCs w:val="24"/>
        </w:rPr>
        <w:t xml:space="preserve">and the County to partner </w:t>
      </w:r>
      <w:r w:rsidR="00902FE0">
        <w:rPr>
          <w:rFonts w:cs="Arial"/>
          <w:szCs w:val="24"/>
        </w:rPr>
        <w:t>or share information that will assist the County in meeting its</w:t>
      </w:r>
      <w:r w:rsidRPr="00045F11">
        <w:rPr>
          <w:rFonts w:cs="Arial"/>
          <w:szCs w:val="24"/>
        </w:rPr>
        <w:t xml:space="preserve"> public trust duty in well permitting.</w:t>
      </w:r>
    </w:p>
    <w:p w14:paraId="76968925" w14:textId="033FE548" w:rsidR="00B07192" w:rsidRPr="00045F11" w:rsidRDefault="00B07192" w:rsidP="00980BC9">
      <w:pPr>
        <w:ind w:firstLine="720"/>
        <w:rPr>
          <w:rFonts w:cs="Arial"/>
          <w:szCs w:val="24"/>
        </w:rPr>
      </w:pPr>
      <w:r>
        <w:rPr>
          <w:rFonts w:cs="Arial"/>
          <w:szCs w:val="24"/>
        </w:rPr>
        <w:t xml:space="preserve">BE IT FURTHER RESOLVED that </w:t>
      </w:r>
      <w:r w:rsidR="00980BC9">
        <w:rPr>
          <w:rFonts w:cs="Arial"/>
          <w:szCs w:val="24"/>
        </w:rPr>
        <w:t xml:space="preserve">the Board finds this resolution </w:t>
      </w:r>
      <w:r w:rsidRPr="00B07192">
        <w:rPr>
          <w:rFonts w:cs="Arial"/>
          <w:szCs w:val="24"/>
        </w:rPr>
        <w:t xml:space="preserve">is exempt from the California Environmental Quality Act (CEQA) because it is not a project under CEQA. Moreover, if it were deemed a project, it would be categorically exempt under section 15321 of Title 14, Article 7 of the California Code of Regulations because it amounts to an action by an agency for enforcement of a law, general rule, standard or objective administered or adopted by the agency. </w:t>
      </w:r>
      <w:r w:rsidR="00980BC9">
        <w:rPr>
          <w:rFonts w:cs="Arial"/>
          <w:szCs w:val="24"/>
        </w:rPr>
        <w:t xml:space="preserve"> </w:t>
      </w:r>
      <w:r w:rsidRPr="00B07192">
        <w:rPr>
          <w:rFonts w:cs="Arial"/>
          <w:szCs w:val="24"/>
        </w:rPr>
        <w:t>Furthermore, this ordinance is not subject to CEQA under the following sections of Title 14, Article 7 of the California Code of Regulations: i.</w:t>
      </w:r>
      <w:r w:rsidR="00980BC9">
        <w:rPr>
          <w:rFonts w:cs="Arial"/>
          <w:szCs w:val="24"/>
        </w:rPr>
        <w:t>)</w:t>
      </w:r>
      <w:r w:rsidRPr="00B07192">
        <w:rPr>
          <w:rFonts w:cs="Arial"/>
          <w:szCs w:val="24"/>
        </w:rPr>
        <w:t xml:space="preserve"> Section 15307, because it regulates activities to assure the maintenance, </w:t>
      </w:r>
      <w:r w:rsidR="00980BC9">
        <w:rPr>
          <w:rFonts w:cs="Arial"/>
          <w:szCs w:val="24"/>
        </w:rPr>
        <w:t xml:space="preserve">restoration, or </w:t>
      </w:r>
      <w:r w:rsidRPr="00B07192">
        <w:rPr>
          <w:rFonts w:cs="Arial"/>
          <w:szCs w:val="24"/>
        </w:rPr>
        <w:t>enhan</w:t>
      </w:r>
      <w:r w:rsidR="00980BC9">
        <w:rPr>
          <w:rFonts w:cs="Arial"/>
          <w:szCs w:val="24"/>
        </w:rPr>
        <w:t>cement of natural resources; ii)</w:t>
      </w:r>
      <w:r w:rsidRPr="00B07192">
        <w:rPr>
          <w:rFonts w:cs="Arial"/>
          <w:szCs w:val="24"/>
        </w:rPr>
        <w:t>. Section 15308, because it regulates activities to assure the maintenance, restoration or enhancement of the environment including groundwater re</w:t>
      </w:r>
      <w:r w:rsidR="00980BC9">
        <w:rPr>
          <w:rFonts w:cs="Arial"/>
          <w:szCs w:val="24"/>
        </w:rPr>
        <w:t xml:space="preserve">sources within Siskiyou County; iii.) </w:t>
      </w:r>
      <w:r w:rsidR="00980BC9" w:rsidRPr="00980BC9">
        <w:rPr>
          <w:rFonts w:cs="Arial"/>
          <w:szCs w:val="24"/>
        </w:rPr>
        <w:t xml:space="preserve">Section 15061(b)(3), because there is no possibility </w:t>
      </w:r>
      <w:r w:rsidR="00A73A40">
        <w:rPr>
          <w:rFonts w:cs="Arial"/>
          <w:szCs w:val="24"/>
        </w:rPr>
        <w:t>this resolution making public trust findings for domestic wells and directing staff to bring forward a moratorium on agricultural wells</w:t>
      </w:r>
      <w:r w:rsidR="00980BC9" w:rsidRPr="00980BC9">
        <w:rPr>
          <w:rFonts w:cs="Arial"/>
          <w:szCs w:val="24"/>
        </w:rPr>
        <w:t xml:space="preserve"> </w:t>
      </w:r>
      <w:r w:rsidR="0047441A">
        <w:rPr>
          <w:rFonts w:cs="Arial"/>
          <w:szCs w:val="24"/>
        </w:rPr>
        <w:t xml:space="preserve">in the Scott Valley </w:t>
      </w:r>
      <w:r w:rsidR="00980BC9" w:rsidRPr="00980BC9">
        <w:rPr>
          <w:rFonts w:cs="Arial"/>
          <w:szCs w:val="24"/>
        </w:rPr>
        <w:t xml:space="preserve">may </w:t>
      </w:r>
      <w:r w:rsidR="0047441A">
        <w:rPr>
          <w:rFonts w:cs="Arial"/>
          <w:szCs w:val="24"/>
        </w:rPr>
        <w:t xml:space="preserve">itself </w:t>
      </w:r>
      <w:r w:rsidR="00980BC9" w:rsidRPr="00980BC9">
        <w:rPr>
          <w:rFonts w:cs="Arial"/>
          <w:szCs w:val="24"/>
        </w:rPr>
        <w:t>have a signif</w:t>
      </w:r>
      <w:r w:rsidR="00980BC9">
        <w:rPr>
          <w:rFonts w:cs="Arial"/>
          <w:szCs w:val="24"/>
        </w:rPr>
        <w:t>icant effect on the environment.</w:t>
      </w:r>
    </w:p>
    <w:p w14:paraId="74656EB3" w14:textId="3786C568" w:rsidR="003223C6" w:rsidRDefault="00E6635D" w:rsidP="003223C6">
      <w:pPr>
        <w:ind w:firstLine="720"/>
      </w:pPr>
      <w:r>
        <w:t xml:space="preserve">PASSED AND ADOPTED by the Siskiyou County Board of Supervisors at a </w:t>
      </w:r>
      <w:r w:rsidR="00411BCD">
        <w:t>special</w:t>
      </w:r>
      <w:r>
        <w:t xml:space="preserve"> meeting</w:t>
      </w:r>
      <w:r w:rsidR="00902FE0">
        <w:t xml:space="preserve"> of said Board, held on the 7th</w:t>
      </w:r>
      <w:r>
        <w:t xml:space="preserve"> day of </w:t>
      </w:r>
      <w:r>
        <w:fldChar w:fldCharType="begin"/>
      </w:r>
      <w:r>
        <w:instrText>DATE \@ "MMMM, yyyy"</w:instrText>
      </w:r>
      <w:r>
        <w:fldChar w:fldCharType="separate"/>
      </w:r>
      <w:r w:rsidR="00555AB9">
        <w:rPr>
          <w:noProof/>
        </w:rPr>
        <w:t>November, 2021</w:t>
      </w:r>
      <w:r>
        <w:fldChar w:fldCharType="end"/>
      </w:r>
      <w:r>
        <w:t>, by the following vote</w:t>
      </w:r>
    </w:p>
    <w:p w14:paraId="7254AFD4" w14:textId="77777777" w:rsidR="003223C6" w:rsidRDefault="003223C6" w:rsidP="003223C6">
      <w:pPr>
        <w:spacing w:before="0" w:after="0"/>
      </w:pPr>
      <w:r>
        <w:t>AYES:</w:t>
      </w:r>
    </w:p>
    <w:p w14:paraId="35EA39F3" w14:textId="77777777" w:rsidR="003223C6" w:rsidRDefault="003223C6" w:rsidP="003223C6">
      <w:pPr>
        <w:spacing w:before="0" w:after="0"/>
      </w:pPr>
      <w:r>
        <w:t>NOES:</w:t>
      </w:r>
    </w:p>
    <w:p w14:paraId="75BDE256" w14:textId="77777777" w:rsidR="003223C6" w:rsidRDefault="003223C6" w:rsidP="003223C6">
      <w:pPr>
        <w:spacing w:before="0" w:after="0"/>
      </w:pPr>
      <w:r>
        <w:t>ABSENT:</w:t>
      </w:r>
    </w:p>
    <w:p w14:paraId="08AC8CD2" w14:textId="47F41B59" w:rsidR="003223C6" w:rsidRDefault="003223C6" w:rsidP="005A2E34">
      <w:pPr>
        <w:spacing w:before="0" w:after="0"/>
      </w:pPr>
      <w:r>
        <w:t>ABSTAIN:</w:t>
      </w:r>
    </w:p>
    <w:p w14:paraId="5EA30B49" w14:textId="77777777" w:rsidR="003223C6" w:rsidRDefault="003223C6" w:rsidP="003223C6">
      <w:pPr>
        <w:spacing w:before="0" w:after="0"/>
        <w:ind w:firstLine="4320"/>
      </w:pPr>
      <w:r>
        <w:t>___________________________________</w:t>
      </w:r>
    </w:p>
    <w:p w14:paraId="2FF4D5CC" w14:textId="77777777" w:rsidR="00F35DD1" w:rsidRDefault="00411BCD" w:rsidP="003223C6">
      <w:pPr>
        <w:spacing w:before="0" w:after="0"/>
        <w:ind w:firstLine="4320"/>
      </w:pPr>
      <w:r>
        <w:t>Ray A. Haupt,</w:t>
      </w:r>
      <w:r w:rsidR="00F35DD1">
        <w:t xml:space="preserve"> Chair</w:t>
      </w:r>
    </w:p>
    <w:p w14:paraId="5EBACAA0" w14:textId="77777777" w:rsidR="003223C6" w:rsidRDefault="003223C6" w:rsidP="003223C6">
      <w:pPr>
        <w:spacing w:before="0" w:after="0"/>
        <w:ind w:firstLine="4320"/>
      </w:pPr>
      <w:r>
        <w:t>Siskiyou County Board of Supervisors</w:t>
      </w:r>
    </w:p>
    <w:p w14:paraId="3EFC3BF5" w14:textId="77777777" w:rsidR="003223C6" w:rsidRDefault="003223C6" w:rsidP="003223C6">
      <w:pPr>
        <w:spacing w:before="0" w:after="0"/>
      </w:pPr>
    </w:p>
    <w:p w14:paraId="6D950C0E" w14:textId="77777777" w:rsidR="003223C6" w:rsidRDefault="003223C6" w:rsidP="003223C6">
      <w:pPr>
        <w:spacing w:before="0" w:after="0"/>
      </w:pPr>
      <w:r>
        <w:t>ATTEST:</w:t>
      </w:r>
    </w:p>
    <w:p w14:paraId="09FC5E10" w14:textId="77777777" w:rsidR="003223C6" w:rsidRDefault="003223C6" w:rsidP="003223C6">
      <w:pPr>
        <w:spacing w:before="0" w:after="0"/>
      </w:pPr>
      <w:r>
        <w:t>LAURA BYNUM,</w:t>
      </w:r>
    </w:p>
    <w:p w14:paraId="31B151B9" w14:textId="77777777" w:rsidR="003223C6" w:rsidRDefault="003223C6" w:rsidP="003223C6">
      <w:pPr>
        <w:spacing w:before="0" w:after="0"/>
      </w:pPr>
      <w:r>
        <w:t>COUNTY CLERK</w:t>
      </w:r>
    </w:p>
    <w:p w14:paraId="7A98EBBD" w14:textId="77777777" w:rsidR="003223C6" w:rsidRDefault="003223C6" w:rsidP="003223C6">
      <w:pPr>
        <w:spacing w:before="0" w:after="0"/>
      </w:pPr>
    </w:p>
    <w:p w14:paraId="5798A114" w14:textId="77777777" w:rsidR="003223C6" w:rsidRDefault="003223C6" w:rsidP="003223C6">
      <w:pPr>
        <w:spacing w:before="0" w:after="0"/>
      </w:pPr>
    </w:p>
    <w:p w14:paraId="5F5194C1" w14:textId="36B93832" w:rsidR="00E6635D" w:rsidRPr="003223C6" w:rsidRDefault="003223C6" w:rsidP="0002709E">
      <w:pPr>
        <w:spacing w:before="0" w:after="0"/>
      </w:pPr>
      <w:r>
        <w:t>By _________________________</w:t>
      </w:r>
    </w:p>
    <w:sectPr w:rsidR="00E6635D" w:rsidRPr="003223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F37" w14:textId="77777777" w:rsidR="00A17EB1" w:rsidRDefault="00A17EB1" w:rsidP="003A48AC">
      <w:pPr>
        <w:spacing w:before="0" w:after="0"/>
      </w:pPr>
      <w:r>
        <w:separator/>
      </w:r>
    </w:p>
  </w:endnote>
  <w:endnote w:type="continuationSeparator" w:id="0">
    <w:p w14:paraId="7388D5F0" w14:textId="77777777" w:rsidR="00A17EB1" w:rsidRDefault="00A17EB1" w:rsidP="003A48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7B63" w14:textId="77777777" w:rsidR="00EC0054" w:rsidRDefault="00EC0054">
    <w:pPr>
      <w:pStyle w:val="Footer"/>
    </w:pPr>
  </w:p>
  <w:p w14:paraId="319165A9" w14:textId="4A84501E" w:rsidR="003A48AC" w:rsidRDefault="00EC0054" w:rsidP="00EC0054">
    <w:pPr>
      <w:pStyle w:val="DocID"/>
    </w:pPr>
    <w:r>
      <w:t>217\85\3074178.1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975E" w14:textId="77777777" w:rsidR="00EC0054" w:rsidRDefault="00EC0054">
    <w:pPr>
      <w:pStyle w:val="Footer"/>
    </w:pPr>
  </w:p>
  <w:p w14:paraId="3D0B7B9F" w14:textId="1CE97825" w:rsidR="003A48AC" w:rsidRDefault="003A48AC" w:rsidP="00EC0054">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024B" w14:textId="77777777" w:rsidR="00EC0054" w:rsidRDefault="00EC0054">
    <w:pPr>
      <w:pStyle w:val="Footer"/>
    </w:pPr>
  </w:p>
  <w:p w14:paraId="08228907" w14:textId="3132D7FB" w:rsidR="003A48AC" w:rsidRDefault="00EC0054" w:rsidP="00EC0054">
    <w:pPr>
      <w:pStyle w:val="DocID"/>
    </w:pPr>
    <w:r>
      <w:t>217\85\3074178.1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A821" w14:textId="77777777" w:rsidR="00A17EB1" w:rsidRDefault="00A17EB1" w:rsidP="003A48AC">
      <w:pPr>
        <w:spacing w:before="0" w:after="0"/>
      </w:pPr>
      <w:r>
        <w:separator/>
      </w:r>
    </w:p>
  </w:footnote>
  <w:footnote w:type="continuationSeparator" w:id="0">
    <w:p w14:paraId="58F46609" w14:textId="77777777" w:rsidR="00A17EB1" w:rsidRDefault="00A17EB1" w:rsidP="003A48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84A4" w14:textId="45B18916" w:rsidR="003A48AC" w:rsidRDefault="003A4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6657" w14:textId="46E4E2D0" w:rsidR="003A48AC" w:rsidRDefault="003A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6F5" w14:textId="3497FC29" w:rsidR="003A48AC" w:rsidRDefault="003A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46E0"/>
    <w:multiLevelType w:val="hybridMultilevel"/>
    <w:tmpl w:val="8A46315C"/>
    <w:lvl w:ilvl="0" w:tplc="23EC9B36">
      <w:start w:val="1"/>
      <w:numFmt w:val="bullet"/>
      <w:lvlText w:val="•"/>
      <w:lvlJc w:val="left"/>
      <w:pPr>
        <w:tabs>
          <w:tab w:val="num" w:pos="720"/>
        </w:tabs>
        <w:ind w:left="720" w:hanging="360"/>
      </w:pPr>
      <w:rPr>
        <w:rFonts w:ascii="Arial" w:hAnsi="Arial" w:hint="default"/>
      </w:rPr>
    </w:lvl>
    <w:lvl w:ilvl="1" w:tplc="0D8046B8" w:tentative="1">
      <w:start w:val="1"/>
      <w:numFmt w:val="bullet"/>
      <w:lvlText w:val="•"/>
      <w:lvlJc w:val="left"/>
      <w:pPr>
        <w:tabs>
          <w:tab w:val="num" w:pos="1440"/>
        </w:tabs>
        <w:ind w:left="1440" w:hanging="360"/>
      </w:pPr>
      <w:rPr>
        <w:rFonts w:ascii="Arial" w:hAnsi="Arial" w:hint="default"/>
      </w:rPr>
    </w:lvl>
    <w:lvl w:ilvl="2" w:tplc="51602134" w:tentative="1">
      <w:start w:val="1"/>
      <w:numFmt w:val="bullet"/>
      <w:lvlText w:val="•"/>
      <w:lvlJc w:val="left"/>
      <w:pPr>
        <w:tabs>
          <w:tab w:val="num" w:pos="2160"/>
        </w:tabs>
        <w:ind w:left="2160" w:hanging="360"/>
      </w:pPr>
      <w:rPr>
        <w:rFonts w:ascii="Arial" w:hAnsi="Arial" w:hint="default"/>
      </w:rPr>
    </w:lvl>
    <w:lvl w:ilvl="3" w:tplc="3DE87656" w:tentative="1">
      <w:start w:val="1"/>
      <w:numFmt w:val="bullet"/>
      <w:lvlText w:val="•"/>
      <w:lvlJc w:val="left"/>
      <w:pPr>
        <w:tabs>
          <w:tab w:val="num" w:pos="2880"/>
        </w:tabs>
        <w:ind w:left="2880" w:hanging="360"/>
      </w:pPr>
      <w:rPr>
        <w:rFonts w:ascii="Arial" w:hAnsi="Arial" w:hint="default"/>
      </w:rPr>
    </w:lvl>
    <w:lvl w:ilvl="4" w:tplc="445E4DE0" w:tentative="1">
      <w:start w:val="1"/>
      <w:numFmt w:val="bullet"/>
      <w:lvlText w:val="•"/>
      <w:lvlJc w:val="left"/>
      <w:pPr>
        <w:tabs>
          <w:tab w:val="num" w:pos="3600"/>
        </w:tabs>
        <w:ind w:left="3600" w:hanging="360"/>
      </w:pPr>
      <w:rPr>
        <w:rFonts w:ascii="Arial" w:hAnsi="Arial" w:hint="default"/>
      </w:rPr>
    </w:lvl>
    <w:lvl w:ilvl="5" w:tplc="F2A08CEE" w:tentative="1">
      <w:start w:val="1"/>
      <w:numFmt w:val="bullet"/>
      <w:lvlText w:val="•"/>
      <w:lvlJc w:val="left"/>
      <w:pPr>
        <w:tabs>
          <w:tab w:val="num" w:pos="4320"/>
        </w:tabs>
        <w:ind w:left="4320" w:hanging="360"/>
      </w:pPr>
      <w:rPr>
        <w:rFonts w:ascii="Arial" w:hAnsi="Arial" w:hint="default"/>
      </w:rPr>
    </w:lvl>
    <w:lvl w:ilvl="6" w:tplc="08CA6A04" w:tentative="1">
      <w:start w:val="1"/>
      <w:numFmt w:val="bullet"/>
      <w:lvlText w:val="•"/>
      <w:lvlJc w:val="left"/>
      <w:pPr>
        <w:tabs>
          <w:tab w:val="num" w:pos="5040"/>
        </w:tabs>
        <w:ind w:left="5040" w:hanging="360"/>
      </w:pPr>
      <w:rPr>
        <w:rFonts w:ascii="Arial" w:hAnsi="Arial" w:hint="default"/>
      </w:rPr>
    </w:lvl>
    <w:lvl w:ilvl="7" w:tplc="85B02AC6" w:tentative="1">
      <w:start w:val="1"/>
      <w:numFmt w:val="bullet"/>
      <w:lvlText w:val="•"/>
      <w:lvlJc w:val="left"/>
      <w:pPr>
        <w:tabs>
          <w:tab w:val="num" w:pos="5760"/>
        </w:tabs>
        <w:ind w:left="5760" w:hanging="360"/>
      </w:pPr>
      <w:rPr>
        <w:rFonts w:ascii="Arial" w:hAnsi="Arial" w:hint="default"/>
      </w:rPr>
    </w:lvl>
    <w:lvl w:ilvl="8" w:tplc="72767C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C638C0"/>
    <w:multiLevelType w:val="hybridMultilevel"/>
    <w:tmpl w:val="3EE664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3A03E1"/>
    <w:multiLevelType w:val="hybridMultilevel"/>
    <w:tmpl w:val="A732CB56"/>
    <w:lvl w:ilvl="0" w:tplc="46522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9932C8"/>
    <w:multiLevelType w:val="hybridMultilevel"/>
    <w:tmpl w:val="4E44FFE4"/>
    <w:lvl w:ilvl="0" w:tplc="BAA4D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5D"/>
    <w:rsid w:val="00011EF8"/>
    <w:rsid w:val="0002709E"/>
    <w:rsid w:val="00035D1D"/>
    <w:rsid w:val="00045F11"/>
    <w:rsid w:val="0005637D"/>
    <w:rsid w:val="00095866"/>
    <w:rsid w:val="001120EC"/>
    <w:rsid w:val="00120D00"/>
    <w:rsid w:val="00164B6F"/>
    <w:rsid w:val="001812C7"/>
    <w:rsid w:val="001A5E39"/>
    <w:rsid w:val="001D4382"/>
    <w:rsid w:val="00216079"/>
    <w:rsid w:val="0027430C"/>
    <w:rsid w:val="00290699"/>
    <w:rsid w:val="00294CF5"/>
    <w:rsid w:val="002C3A18"/>
    <w:rsid w:val="002D2498"/>
    <w:rsid w:val="00304CD2"/>
    <w:rsid w:val="003223C6"/>
    <w:rsid w:val="00361053"/>
    <w:rsid w:val="00363E82"/>
    <w:rsid w:val="00391081"/>
    <w:rsid w:val="003A48AC"/>
    <w:rsid w:val="003C40DA"/>
    <w:rsid w:val="003C4645"/>
    <w:rsid w:val="003C522C"/>
    <w:rsid w:val="00411BCD"/>
    <w:rsid w:val="00411E52"/>
    <w:rsid w:val="0047441A"/>
    <w:rsid w:val="0048273E"/>
    <w:rsid w:val="004B72EC"/>
    <w:rsid w:val="004D5F1B"/>
    <w:rsid w:val="004E1A68"/>
    <w:rsid w:val="0051291A"/>
    <w:rsid w:val="005269A0"/>
    <w:rsid w:val="00555AB9"/>
    <w:rsid w:val="005A2E34"/>
    <w:rsid w:val="005D7DDC"/>
    <w:rsid w:val="00653C9E"/>
    <w:rsid w:val="0066420C"/>
    <w:rsid w:val="00692B24"/>
    <w:rsid w:val="006A2A44"/>
    <w:rsid w:val="006A7CB2"/>
    <w:rsid w:val="006C1E97"/>
    <w:rsid w:val="00742557"/>
    <w:rsid w:val="00742E54"/>
    <w:rsid w:val="007C6018"/>
    <w:rsid w:val="00815270"/>
    <w:rsid w:val="00870CDD"/>
    <w:rsid w:val="008C66AA"/>
    <w:rsid w:val="008E2502"/>
    <w:rsid w:val="008F4806"/>
    <w:rsid w:val="00902FE0"/>
    <w:rsid w:val="009350B5"/>
    <w:rsid w:val="00980166"/>
    <w:rsid w:val="00980BC9"/>
    <w:rsid w:val="00984627"/>
    <w:rsid w:val="0099369D"/>
    <w:rsid w:val="00A068C1"/>
    <w:rsid w:val="00A17EB1"/>
    <w:rsid w:val="00A20EEE"/>
    <w:rsid w:val="00A40101"/>
    <w:rsid w:val="00A42831"/>
    <w:rsid w:val="00A63F3F"/>
    <w:rsid w:val="00A73A40"/>
    <w:rsid w:val="00AB31F8"/>
    <w:rsid w:val="00AC3568"/>
    <w:rsid w:val="00B007DE"/>
    <w:rsid w:val="00B07192"/>
    <w:rsid w:val="00B1481A"/>
    <w:rsid w:val="00B61683"/>
    <w:rsid w:val="00B9049C"/>
    <w:rsid w:val="00BB1DB3"/>
    <w:rsid w:val="00BB6BD6"/>
    <w:rsid w:val="00BB710C"/>
    <w:rsid w:val="00BD1CC1"/>
    <w:rsid w:val="00C10583"/>
    <w:rsid w:val="00C20312"/>
    <w:rsid w:val="00C705D1"/>
    <w:rsid w:val="00C91926"/>
    <w:rsid w:val="00CF0AEF"/>
    <w:rsid w:val="00CF314F"/>
    <w:rsid w:val="00D25904"/>
    <w:rsid w:val="00D8061E"/>
    <w:rsid w:val="00D947BF"/>
    <w:rsid w:val="00DF23E0"/>
    <w:rsid w:val="00E56A75"/>
    <w:rsid w:val="00E56F3F"/>
    <w:rsid w:val="00E6635D"/>
    <w:rsid w:val="00E67718"/>
    <w:rsid w:val="00E94207"/>
    <w:rsid w:val="00EC0054"/>
    <w:rsid w:val="00EE2594"/>
    <w:rsid w:val="00F10176"/>
    <w:rsid w:val="00F35DD1"/>
    <w:rsid w:val="00F4123A"/>
    <w:rsid w:val="00F52206"/>
    <w:rsid w:val="00F522E7"/>
    <w:rsid w:val="00F7284F"/>
    <w:rsid w:val="00F9575C"/>
    <w:rsid w:val="00FA1DD6"/>
    <w:rsid w:val="00FA57E8"/>
    <w:rsid w:val="00FB6FAB"/>
    <w:rsid w:val="00FC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5FBC9"/>
  <w15:chartTrackingRefBased/>
  <w15:docId w15:val="{9B77B7B6-12DC-4FAE-8507-1504DFB0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 w:type="paragraph" w:styleId="Header">
    <w:name w:val="header"/>
    <w:basedOn w:val="Normal"/>
    <w:link w:val="HeaderChar"/>
    <w:uiPriority w:val="99"/>
    <w:unhideWhenUsed/>
    <w:rsid w:val="003A48AC"/>
    <w:pPr>
      <w:tabs>
        <w:tab w:val="center" w:pos="4680"/>
        <w:tab w:val="right" w:pos="9360"/>
      </w:tabs>
      <w:spacing w:before="0" w:after="0"/>
    </w:pPr>
  </w:style>
  <w:style w:type="character" w:customStyle="1" w:styleId="HeaderChar">
    <w:name w:val="Header Char"/>
    <w:basedOn w:val="DefaultParagraphFont"/>
    <w:link w:val="Header"/>
    <w:uiPriority w:val="99"/>
    <w:rsid w:val="003A48AC"/>
    <w:rPr>
      <w:rFonts w:ascii="Arial" w:hAnsi="Arial" w:cs="Times New Roman"/>
      <w:szCs w:val="20"/>
    </w:rPr>
  </w:style>
  <w:style w:type="paragraph" w:styleId="Footer">
    <w:name w:val="footer"/>
    <w:basedOn w:val="Normal"/>
    <w:link w:val="FooterChar"/>
    <w:uiPriority w:val="99"/>
    <w:unhideWhenUsed/>
    <w:rsid w:val="003A48AC"/>
    <w:pPr>
      <w:tabs>
        <w:tab w:val="center" w:pos="4680"/>
        <w:tab w:val="right" w:pos="9360"/>
      </w:tabs>
      <w:spacing w:before="0" w:after="0"/>
    </w:pPr>
  </w:style>
  <w:style w:type="character" w:customStyle="1" w:styleId="FooterChar">
    <w:name w:val="Footer Char"/>
    <w:basedOn w:val="DefaultParagraphFont"/>
    <w:link w:val="Footer"/>
    <w:uiPriority w:val="99"/>
    <w:rsid w:val="003A48AC"/>
    <w:rPr>
      <w:rFonts w:ascii="Arial" w:hAnsi="Arial" w:cs="Times New Roman"/>
      <w:szCs w:val="20"/>
    </w:rPr>
  </w:style>
  <w:style w:type="paragraph" w:customStyle="1" w:styleId="DocID">
    <w:name w:val="Doc ID"/>
    <w:basedOn w:val="Normal"/>
    <w:link w:val="DocIDChar"/>
    <w:rsid w:val="00EC0054"/>
    <w:pPr>
      <w:tabs>
        <w:tab w:val="right" w:pos="9360"/>
      </w:tabs>
      <w:spacing w:before="0" w:after="0" w:line="200" w:lineRule="exact"/>
    </w:pPr>
    <w:rPr>
      <w:rFonts w:ascii="Times New Roman" w:hAnsi="Times New Roman"/>
      <w:sz w:val="16"/>
    </w:rPr>
  </w:style>
  <w:style w:type="character" w:customStyle="1" w:styleId="DocIDChar">
    <w:name w:val="Doc ID Char"/>
    <w:basedOn w:val="DefaultParagraphFont"/>
    <w:link w:val="DocID"/>
    <w:rsid w:val="00EC0054"/>
    <w:rPr>
      <w:rFonts w:ascii="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67400">
      <w:bodyDiv w:val="1"/>
      <w:marLeft w:val="0"/>
      <w:marRight w:val="0"/>
      <w:marTop w:val="0"/>
      <w:marBottom w:val="0"/>
      <w:divBdr>
        <w:top w:val="none" w:sz="0" w:space="0" w:color="auto"/>
        <w:left w:val="none" w:sz="0" w:space="0" w:color="auto"/>
        <w:bottom w:val="none" w:sz="0" w:space="0" w:color="auto"/>
        <w:right w:val="none" w:sz="0" w:space="0" w:color="auto"/>
      </w:divBdr>
    </w:div>
    <w:div w:id="1510414569">
      <w:bodyDiv w:val="1"/>
      <w:marLeft w:val="0"/>
      <w:marRight w:val="0"/>
      <w:marTop w:val="0"/>
      <w:marBottom w:val="0"/>
      <w:divBdr>
        <w:top w:val="none" w:sz="0" w:space="0" w:color="auto"/>
        <w:left w:val="none" w:sz="0" w:space="0" w:color="auto"/>
        <w:bottom w:val="none" w:sz="0" w:space="0" w:color="auto"/>
        <w:right w:val="none" w:sz="0" w:space="0" w:color="auto"/>
      </w:divBdr>
      <w:divsChild>
        <w:div w:id="1888562076">
          <w:marLeft w:val="360"/>
          <w:marRight w:val="0"/>
          <w:marTop w:val="200"/>
          <w:marBottom w:val="0"/>
          <w:divBdr>
            <w:top w:val="none" w:sz="0" w:space="0" w:color="auto"/>
            <w:left w:val="none" w:sz="0" w:space="0" w:color="auto"/>
            <w:bottom w:val="none" w:sz="0" w:space="0" w:color="auto"/>
            <w:right w:val="none" w:sz="0" w:space="0" w:color="auto"/>
          </w:divBdr>
        </w:div>
        <w:div w:id="1473408375">
          <w:marLeft w:val="360"/>
          <w:marRight w:val="0"/>
          <w:marTop w:val="200"/>
          <w:marBottom w:val="0"/>
          <w:divBdr>
            <w:top w:val="none" w:sz="0" w:space="0" w:color="auto"/>
            <w:left w:val="none" w:sz="0" w:space="0" w:color="auto"/>
            <w:bottom w:val="none" w:sz="0" w:space="0" w:color="auto"/>
            <w:right w:val="none" w:sz="0" w:space="0" w:color="auto"/>
          </w:divBdr>
        </w:div>
        <w:div w:id="2145925383">
          <w:marLeft w:val="360"/>
          <w:marRight w:val="0"/>
          <w:marTop w:val="200"/>
          <w:marBottom w:val="0"/>
          <w:divBdr>
            <w:top w:val="none" w:sz="0" w:space="0" w:color="auto"/>
            <w:left w:val="none" w:sz="0" w:space="0" w:color="auto"/>
            <w:bottom w:val="none" w:sz="0" w:space="0" w:color="auto"/>
            <w:right w:val="none" w:sz="0" w:space="0" w:color="auto"/>
          </w:divBdr>
        </w:div>
        <w:div w:id="1606498874">
          <w:marLeft w:val="360"/>
          <w:marRight w:val="0"/>
          <w:marTop w:val="200"/>
          <w:marBottom w:val="0"/>
          <w:divBdr>
            <w:top w:val="none" w:sz="0" w:space="0" w:color="auto"/>
            <w:left w:val="none" w:sz="0" w:space="0" w:color="auto"/>
            <w:bottom w:val="none" w:sz="0" w:space="0" w:color="auto"/>
            <w:right w:val="none" w:sz="0" w:space="0" w:color="auto"/>
          </w:divBdr>
        </w:div>
      </w:divsChild>
    </w:div>
    <w:div w:id="15646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Janine Rowe</cp:lastModifiedBy>
  <cp:revision>2</cp:revision>
  <cp:lastPrinted>2021-06-02T22:51:00Z</cp:lastPrinted>
  <dcterms:created xsi:type="dcterms:W3CDTF">2021-11-29T23:53:00Z</dcterms:created>
  <dcterms:modified xsi:type="dcterms:W3CDTF">2021-11-29T23:53:00Z</dcterms:modified>
</cp:coreProperties>
</file>