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F8D5" w14:textId="4570FB1C" w:rsidR="003A38BA" w:rsidRDefault="003A38BA" w:rsidP="003A38BA">
      <w:pPr>
        <w:pStyle w:val="Heading2"/>
        <w:spacing w:after="360"/>
        <w:jc w:val="center"/>
      </w:pPr>
      <w:r>
        <w:t>Exhibit A-1 to Resolution</w:t>
      </w:r>
      <w:r>
        <w:br/>
        <w:t>Notations and Recommended Conditions of Approval</w:t>
      </w:r>
    </w:p>
    <w:p w14:paraId="7C9095F0" w14:textId="1A5E4CFF" w:rsidR="003A38BA" w:rsidRDefault="003A38BA" w:rsidP="003A38BA">
      <w:pPr>
        <w:pStyle w:val="Heading2"/>
      </w:pPr>
      <w:r>
        <w:t>Notations</w:t>
      </w:r>
    </w:p>
    <w:p w14:paraId="641E3E9C" w14:textId="77777777" w:rsidR="00BC0132" w:rsidRPr="00460F94" w:rsidRDefault="00BC0132" w:rsidP="00BC0132">
      <w:pPr>
        <w:pStyle w:val="ListParagraph"/>
        <w:numPr>
          <w:ilvl w:val="0"/>
          <w:numId w:val="2"/>
        </w:numPr>
        <w:rPr>
          <w:snapToGrid w:val="0"/>
          <w:sz w:val="22"/>
          <w:szCs w:val="22"/>
        </w:rPr>
      </w:pPr>
      <w:r w:rsidRPr="00460F94">
        <w:rPr>
          <w:sz w:val="22"/>
          <w:szCs w:val="22"/>
        </w:rPr>
        <w:t xml:space="preserve">Upon adoption of the CEQA exemption by the Board of Supervisors, a check in the amount of $50 made payable to the Siskiyou County Clerk and submitted to the Siskiyou County Planning Division is necessary in order to file the Notice of Exemption. Failure to file the Notice of Exemption extends the statute of limitations for legal challenges to the categorical exemption from 35 to 180 days. </w:t>
      </w:r>
    </w:p>
    <w:p w14:paraId="0BD15797" w14:textId="77777777" w:rsidR="00BC0132" w:rsidRPr="00460F94" w:rsidRDefault="00BC0132" w:rsidP="00BC0132">
      <w:pPr>
        <w:pStyle w:val="ListParagraph"/>
        <w:numPr>
          <w:ilvl w:val="0"/>
          <w:numId w:val="2"/>
        </w:numPr>
        <w:rPr>
          <w:sz w:val="22"/>
          <w:szCs w:val="22"/>
        </w:rPr>
      </w:pPr>
      <w:r w:rsidRPr="00460F94">
        <w:rPr>
          <w:sz w:val="22"/>
          <w:szCs w:val="22"/>
        </w:rPr>
        <w:t>If timber is to be commercially harvested as part of the creation of the subdivision, the conditions set forth in the California Forest Practice Rules pertaining to Conversion of Timberland (Title 14, CCR, Article 7, Section 1104.02) shall be adhered to.</w:t>
      </w:r>
    </w:p>
    <w:p w14:paraId="72FF618C" w14:textId="77777777" w:rsidR="00BC0132" w:rsidRPr="00460F94" w:rsidRDefault="00BC0132" w:rsidP="00BC0132">
      <w:pPr>
        <w:pStyle w:val="ListParagraph"/>
        <w:numPr>
          <w:ilvl w:val="0"/>
          <w:numId w:val="2"/>
        </w:numPr>
        <w:rPr>
          <w:sz w:val="22"/>
          <w:szCs w:val="22"/>
        </w:rPr>
      </w:pPr>
      <w:r w:rsidRPr="00460F94">
        <w:rPr>
          <w:sz w:val="22"/>
          <w:szCs w:val="22"/>
        </w:rPr>
        <w:t>If any timber operations (as defined by PRC Section 4527) are involved with a project, they must be approved by Cal Fire prior to undertaking operations. A Timber Harvesting Plan (THP) may be required. A Timberland Conversion Permit (TCP) may also be required.</w:t>
      </w:r>
    </w:p>
    <w:p w14:paraId="35BE1014" w14:textId="77777777" w:rsidR="00BC0132" w:rsidRPr="00460F94" w:rsidRDefault="00BC0132" w:rsidP="00BC0132">
      <w:pPr>
        <w:pStyle w:val="ListParagraph"/>
        <w:numPr>
          <w:ilvl w:val="0"/>
          <w:numId w:val="2"/>
        </w:numPr>
        <w:rPr>
          <w:sz w:val="22"/>
          <w:szCs w:val="22"/>
        </w:rPr>
      </w:pPr>
      <w:r w:rsidRPr="00460F94">
        <w:rPr>
          <w:sz w:val="22"/>
          <w:szCs w:val="22"/>
        </w:rPr>
        <w:t>If a proposed project will result in the conversion of greater than three (3) acres of timberland to non-timber use, a TCP is required prior to undertaking any conversion operations. Provisions and procedures for filing an application for a TCP are found in Article 9, Division 4, Chapter 8 of the Public Resources Code. If the area to be converted is less than three acres, the project may qualify for a “Less Than 3-Acre Conversion Exemption” under 14CCR 1104.</w:t>
      </w:r>
    </w:p>
    <w:p w14:paraId="3BC5FCFE" w14:textId="3616BCA0" w:rsidR="00BC0132" w:rsidRPr="00460F94" w:rsidRDefault="00BC0132" w:rsidP="00BC0132">
      <w:pPr>
        <w:pStyle w:val="ListParagraph"/>
        <w:numPr>
          <w:ilvl w:val="0"/>
          <w:numId w:val="2"/>
        </w:numPr>
        <w:rPr>
          <w:snapToGrid w:val="0"/>
          <w:sz w:val="22"/>
          <w:szCs w:val="22"/>
        </w:rPr>
      </w:pPr>
      <w:r w:rsidRPr="00460F94">
        <w:rPr>
          <w:snapToGrid w:val="0"/>
          <w:sz w:val="22"/>
          <w:szCs w:val="22"/>
        </w:rPr>
        <w:t>Federal and state laws prohibit the taking of special-status species. The California Department of Fish and Wildlife (CDFW) submitted a comment letter, dated September 19, 2015, indicating that a number of special-status species have been identified within five miles of the project site, and detailing precautions that the property owner may want to take to ensure compliance with state and federal law. The CDFW comment letter is included in Exhibit C</w:t>
      </w:r>
      <w:r w:rsidR="00460F94" w:rsidRPr="00460F94">
        <w:rPr>
          <w:snapToGrid w:val="0"/>
          <w:sz w:val="22"/>
          <w:szCs w:val="22"/>
        </w:rPr>
        <w:t xml:space="preserve"> of the Planning Commission staff report</w:t>
      </w:r>
      <w:r w:rsidRPr="00460F94">
        <w:rPr>
          <w:snapToGrid w:val="0"/>
          <w:sz w:val="22"/>
          <w:szCs w:val="22"/>
        </w:rPr>
        <w:t>.</w:t>
      </w:r>
    </w:p>
    <w:p w14:paraId="28D96790" w14:textId="77777777" w:rsidR="00BC0132" w:rsidRPr="00460F94" w:rsidRDefault="00BC0132" w:rsidP="00BC0132">
      <w:pPr>
        <w:pStyle w:val="ListParagraph"/>
        <w:numPr>
          <w:ilvl w:val="0"/>
          <w:numId w:val="2"/>
        </w:numPr>
        <w:rPr>
          <w:snapToGrid w:val="0"/>
          <w:sz w:val="22"/>
          <w:szCs w:val="22"/>
        </w:rPr>
      </w:pPr>
      <w:r w:rsidRPr="00460F94">
        <w:rPr>
          <w:snapToGrid w:val="0"/>
          <w:sz w:val="22"/>
          <w:szCs w:val="22"/>
        </w:rPr>
        <w:t xml:space="preserve">If the meadow or Horse Creek would be impacted as a result of ground disturbing activities, a Lake or Streambed Alteration Agreement may need to be obtained from CDFW pursuant to Section 1602 of the Fish and Game Code. Notification instructions and forms can be found at </w:t>
      </w:r>
      <w:hyperlink r:id="rId7" w:history="1">
        <w:r w:rsidRPr="00460F94">
          <w:rPr>
            <w:rStyle w:val="Hyperlink"/>
            <w:rFonts w:cs="Arial"/>
            <w:snapToGrid w:val="0"/>
            <w:sz w:val="22"/>
            <w:szCs w:val="22"/>
          </w:rPr>
          <w:t>https://www.wildlife.ca.gov/Conservation/LSA/Forms</w:t>
        </w:r>
      </w:hyperlink>
      <w:r w:rsidRPr="00460F94">
        <w:rPr>
          <w:snapToGrid w:val="0"/>
          <w:sz w:val="22"/>
          <w:szCs w:val="22"/>
        </w:rPr>
        <w:t>.</w:t>
      </w:r>
    </w:p>
    <w:p w14:paraId="7C7DC32D" w14:textId="0A31AC04" w:rsidR="00BC0132" w:rsidRPr="00460F94" w:rsidRDefault="00BC0132" w:rsidP="00BC0132">
      <w:pPr>
        <w:pStyle w:val="ListParagraph"/>
        <w:numPr>
          <w:ilvl w:val="0"/>
          <w:numId w:val="2"/>
        </w:numPr>
        <w:rPr>
          <w:snapToGrid w:val="0"/>
          <w:sz w:val="22"/>
          <w:szCs w:val="22"/>
        </w:rPr>
      </w:pPr>
      <w:r w:rsidRPr="00460F94">
        <w:rPr>
          <w:snapToGrid w:val="0"/>
          <w:sz w:val="22"/>
          <w:szCs w:val="22"/>
        </w:rPr>
        <w:t>Federal and state laws provide for the protection of prehistoric and historic cultural resources. The Northeast Information Center (NEIC) submitted a comment letter, dated September 28, 2015, indicating that the property is located in an area that may considered sensitive for cultural resources. As a result, the property owner may wish to take any necessary precautions to ensure compliance with state and federal law prior to ground disturbing activities.</w:t>
      </w:r>
    </w:p>
    <w:p w14:paraId="3AD581F0" w14:textId="2EA0BBD1" w:rsidR="003A38BA" w:rsidRDefault="003A38BA" w:rsidP="003A38BA">
      <w:pPr>
        <w:pStyle w:val="Heading2"/>
      </w:pPr>
      <w:r>
        <w:lastRenderedPageBreak/>
        <w:t>Conditions of Approval</w:t>
      </w:r>
    </w:p>
    <w:p w14:paraId="47AB9790" w14:textId="77777777" w:rsidR="00BC0132" w:rsidRPr="00460F94" w:rsidRDefault="00BC0132" w:rsidP="00BC0132">
      <w:pPr>
        <w:pStyle w:val="ListParagraph"/>
        <w:numPr>
          <w:ilvl w:val="0"/>
          <w:numId w:val="4"/>
        </w:numPr>
        <w:rPr>
          <w:sz w:val="22"/>
          <w:szCs w:val="22"/>
        </w:rPr>
      </w:pPr>
      <w:r w:rsidRPr="00460F94">
        <w:rPr>
          <w:sz w:val="22"/>
          <w:szCs w:val="22"/>
        </w:rPr>
        <w:t>The project shall substantially conform to the project description and tentative parcel map recommended for approval by the Siskiyou County Planning Commission on April 20, 2016. Any proposed amendment(s) shall be submitted for consideration to the Planning Director to determine the review process pursuant to the Siskiyou County Code.</w:t>
      </w:r>
    </w:p>
    <w:p w14:paraId="2E7981B9" w14:textId="10D01CEB" w:rsidR="00BC0132" w:rsidRPr="00460F94" w:rsidRDefault="00BC0132" w:rsidP="00BC0132">
      <w:pPr>
        <w:pStyle w:val="ListParagraph"/>
        <w:numPr>
          <w:ilvl w:val="0"/>
          <w:numId w:val="4"/>
        </w:numPr>
        <w:rPr>
          <w:sz w:val="22"/>
          <w:szCs w:val="22"/>
        </w:rPr>
      </w:pPr>
      <w:r w:rsidRPr="00460F94">
        <w:rPr>
          <w:sz w:val="22"/>
          <w:szCs w:val="22"/>
        </w:rPr>
        <w:t xml:space="preserve">The applicant shall comply </w:t>
      </w:r>
      <w:r w:rsidR="00402A40" w:rsidRPr="00460F94">
        <w:rPr>
          <w:sz w:val="22"/>
          <w:szCs w:val="22"/>
        </w:rPr>
        <w:t>with and</w:t>
      </w:r>
      <w:r w:rsidRPr="00460F94">
        <w:rPr>
          <w:sz w:val="22"/>
          <w:szCs w:val="22"/>
        </w:rPr>
        <w:t xml:space="preserve"> provide verification of compliance with all applicable statutory requirements of the Public Resources Code 4290 and California Code of Regulations, Title 14, Fire Safe Regulations, to the satisfaction of Cal Fire.</w:t>
      </w:r>
    </w:p>
    <w:p w14:paraId="6D5E63C1" w14:textId="77777777" w:rsidR="00BC0132" w:rsidRPr="00460F94" w:rsidRDefault="00BC0132" w:rsidP="00BC0132">
      <w:pPr>
        <w:pStyle w:val="ListParagraph"/>
        <w:numPr>
          <w:ilvl w:val="0"/>
          <w:numId w:val="4"/>
        </w:numPr>
        <w:rPr>
          <w:sz w:val="22"/>
          <w:szCs w:val="22"/>
        </w:rPr>
      </w:pPr>
      <w:r w:rsidRPr="00460F94">
        <w:rPr>
          <w:sz w:val="22"/>
          <w:szCs w:val="22"/>
        </w:rPr>
        <w:t>A Taxes and Assessments Certificate shall be obtained from the County Assessor’s Office, signed off by the County Tax Collector, and submitted with the legal descriptions for recording.</w:t>
      </w:r>
    </w:p>
    <w:p w14:paraId="1DC229D9" w14:textId="77777777" w:rsidR="00BC0132" w:rsidRPr="00460F94" w:rsidRDefault="00BC0132" w:rsidP="00BC0132">
      <w:pPr>
        <w:pStyle w:val="ListParagraph"/>
        <w:numPr>
          <w:ilvl w:val="0"/>
          <w:numId w:val="4"/>
        </w:numPr>
        <w:rPr>
          <w:sz w:val="22"/>
          <w:szCs w:val="22"/>
        </w:rPr>
      </w:pPr>
      <w:r w:rsidRPr="00460F94">
        <w:rPr>
          <w:sz w:val="22"/>
          <w:szCs w:val="22"/>
        </w:rPr>
        <w:t>The engineer or surveyor for the applicant shall submit two copies of the map to the Planning Division to the satisfaction of the Planning Director for review and processing along with the applicable review fees as required by the adopted fee schedule.</w:t>
      </w:r>
    </w:p>
    <w:p w14:paraId="7EE901B8" w14:textId="77777777" w:rsidR="00BC0132" w:rsidRPr="00460F94" w:rsidRDefault="00BC0132" w:rsidP="00BC0132">
      <w:pPr>
        <w:pStyle w:val="ListParagraph"/>
        <w:numPr>
          <w:ilvl w:val="0"/>
          <w:numId w:val="4"/>
        </w:numPr>
        <w:rPr>
          <w:sz w:val="22"/>
          <w:szCs w:val="22"/>
        </w:rPr>
      </w:pPr>
      <w:r w:rsidRPr="00460F94">
        <w:rPr>
          <w:sz w:val="22"/>
          <w:szCs w:val="22"/>
        </w:rPr>
        <w:t>The applicant, shall defend, indemnify and hold harmless the County, its agents, officers and employees from any claim, action, or proceeding (collectively, "Action") against the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the County or any of its agencies, departments, commissions, agents (including consultants), officers or employees, concerning the project, or to impose personal liability against such agents (including consultants), officers or employees resulting from their non-negligent involvement in the project, which action is brought within the time period provided by law, including any claim for private attorney general fees claimed by or awarded to any party from the County. Said responsibilities shall be pursuant to the County’s standard Agreement for Indemnification in effect at the time of application approval or Agreement for Indemnification if signed and effective prior to the date the application is approved. In the event that the applicant fails to comply with the terms of the applicable agreement, the applicant does hereby consent and agree to all remedies in said agreement and does hereby agree and consent to the County rescinding all applicable project approvals.</w:t>
      </w:r>
    </w:p>
    <w:sectPr w:rsidR="00BC0132" w:rsidRPr="00460F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1B52" w14:textId="77777777" w:rsidR="003A38BA" w:rsidRDefault="003A38BA" w:rsidP="003A38BA">
      <w:pPr>
        <w:spacing w:before="0" w:after="0" w:line="240" w:lineRule="auto"/>
      </w:pPr>
      <w:r>
        <w:separator/>
      </w:r>
    </w:p>
  </w:endnote>
  <w:endnote w:type="continuationSeparator" w:id="0">
    <w:p w14:paraId="07706FA4" w14:textId="77777777" w:rsidR="003A38BA" w:rsidRDefault="003A38BA" w:rsidP="003A3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3FB9" w14:textId="7365131E" w:rsidR="003A38BA" w:rsidRPr="003A38BA" w:rsidRDefault="003A38BA">
    <w:pPr>
      <w:pStyle w:val="Footer"/>
      <w:rPr>
        <w:sz w:val="20"/>
        <w:szCs w:val="20"/>
      </w:rPr>
    </w:pPr>
    <w:r w:rsidRPr="003A38BA">
      <w:rPr>
        <w:sz w:val="20"/>
        <w:szCs w:val="20"/>
      </w:rPr>
      <w:t>Exhibit A-1 – Notations and Conditions of Approval</w:t>
    </w:r>
  </w:p>
  <w:p w14:paraId="079B5FBC" w14:textId="11E72A70" w:rsidR="003A38BA" w:rsidRPr="003A38BA" w:rsidRDefault="003A38BA">
    <w:pPr>
      <w:pStyle w:val="Footer"/>
      <w:rPr>
        <w:sz w:val="20"/>
        <w:szCs w:val="20"/>
      </w:rPr>
    </w:pPr>
    <w:proofErr w:type="spellStart"/>
    <w:r w:rsidRPr="003A38BA">
      <w:rPr>
        <w:sz w:val="20"/>
        <w:szCs w:val="20"/>
      </w:rPr>
      <w:t>Callick</w:t>
    </w:r>
    <w:proofErr w:type="spellEnd"/>
    <w:r w:rsidRPr="003A38BA">
      <w:rPr>
        <w:sz w:val="20"/>
        <w:szCs w:val="20"/>
      </w:rPr>
      <w:t xml:space="preserve"> Tentative Parcel Map (TPM-15-05)</w:t>
    </w:r>
    <w:r w:rsidRPr="003A38BA">
      <w:rPr>
        <w:sz w:val="20"/>
        <w:szCs w:val="20"/>
      </w:rPr>
      <w:tab/>
    </w:r>
    <w:r w:rsidRPr="003A38BA">
      <w:rPr>
        <w:sz w:val="20"/>
        <w:szCs w:val="20"/>
      </w:rPr>
      <w:tab/>
      <w:t xml:space="preserve">Page </w:t>
    </w:r>
    <w:r w:rsidRPr="003A38BA">
      <w:rPr>
        <w:sz w:val="20"/>
        <w:szCs w:val="20"/>
      </w:rPr>
      <w:fldChar w:fldCharType="begin"/>
    </w:r>
    <w:r w:rsidRPr="003A38BA">
      <w:rPr>
        <w:sz w:val="20"/>
        <w:szCs w:val="20"/>
      </w:rPr>
      <w:instrText xml:space="preserve"> PAGE  \* Arabic  \* MERGEFORMAT </w:instrText>
    </w:r>
    <w:r w:rsidRPr="003A38BA">
      <w:rPr>
        <w:sz w:val="20"/>
        <w:szCs w:val="20"/>
      </w:rPr>
      <w:fldChar w:fldCharType="separate"/>
    </w:r>
    <w:r w:rsidRPr="003A38BA">
      <w:rPr>
        <w:noProof/>
        <w:sz w:val="20"/>
        <w:szCs w:val="20"/>
      </w:rPr>
      <w:t>1</w:t>
    </w:r>
    <w:r w:rsidRPr="003A38BA">
      <w:rPr>
        <w:sz w:val="20"/>
        <w:szCs w:val="20"/>
      </w:rPr>
      <w:fldChar w:fldCharType="end"/>
    </w:r>
    <w:r w:rsidRPr="003A38BA">
      <w:rPr>
        <w:sz w:val="20"/>
        <w:szCs w:val="20"/>
      </w:rPr>
      <w:t xml:space="preserve"> of </w:t>
    </w:r>
    <w:r w:rsidRPr="003A38BA">
      <w:rPr>
        <w:sz w:val="20"/>
        <w:szCs w:val="20"/>
      </w:rPr>
      <w:fldChar w:fldCharType="begin"/>
    </w:r>
    <w:r w:rsidRPr="003A38BA">
      <w:rPr>
        <w:sz w:val="20"/>
        <w:szCs w:val="20"/>
      </w:rPr>
      <w:instrText xml:space="preserve"> NUMPAGES  \* Arabic  \* MERGEFORMAT </w:instrText>
    </w:r>
    <w:r w:rsidRPr="003A38BA">
      <w:rPr>
        <w:sz w:val="20"/>
        <w:szCs w:val="20"/>
      </w:rPr>
      <w:fldChar w:fldCharType="separate"/>
    </w:r>
    <w:r w:rsidRPr="003A38BA">
      <w:rPr>
        <w:noProof/>
        <w:sz w:val="20"/>
        <w:szCs w:val="20"/>
      </w:rPr>
      <w:t>2</w:t>
    </w:r>
    <w:r w:rsidRPr="003A38B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8E41" w14:textId="77777777" w:rsidR="003A38BA" w:rsidRDefault="003A38BA" w:rsidP="003A38BA">
      <w:pPr>
        <w:spacing w:before="0" w:after="0" w:line="240" w:lineRule="auto"/>
      </w:pPr>
      <w:r>
        <w:separator/>
      </w:r>
    </w:p>
  </w:footnote>
  <w:footnote w:type="continuationSeparator" w:id="0">
    <w:p w14:paraId="68B794D6" w14:textId="77777777" w:rsidR="003A38BA" w:rsidRDefault="003A38BA" w:rsidP="003A38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69E1"/>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48729D"/>
    <w:multiLevelType w:val="hybridMultilevel"/>
    <w:tmpl w:val="8CB6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56EC3"/>
    <w:multiLevelType w:val="hybridMultilevel"/>
    <w:tmpl w:val="E670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F59DF"/>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38BA"/>
    <w:rsid w:val="001812C7"/>
    <w:rsid w:val="001D4382"/>
    <w:rsid w:val="00290699"/>
    <w:rsid w:val="00361053"/>
    <w:rsid w:val="003A38BA"/>
    <w:rsid w:val="00402A40"/>
    <w:rsid w:val="00460F94"/>
    <w:rsid w:val="004D5F1B"/>
    <w:rsid w:val="006A7CB2"/>
    <w:rsid w:val="00815270"/>
    <w:rsid w:val="00870CDD"/>
    <w:rsid w:val="008E2502"/>
    <w:rsid w:val="00952380"/>
    <w:rsid w:val="0099369D"/>
    <w:rsid w:val="00A20EEE"/>
    <w:rsid w:val="00A42831"/>
    <w:rsid w:val="00AB31F8"/>
    <w:rsid w:val="00B61683"/>
    <w:rsid w:val="00BC0132"/>
    <w:rsid w:val="00BD1CC1"/>
    <w:rsid w:val="00C20312"/>
    <w:rsid w:val="00D947BF"/>
    <w:rsid w:val="00F4123A"/>
    <w:rsid w:val="00F52206"/>
    <w:rsid w:val="00F5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EEE4"/>
  <w15:docId w15:val="{09DEF1E3-505F-4EE4-9417-04453ED6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A38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38BA"/>
    <w:rPr>
      <w:rFonts w:ascii="Arial" w:hAnsi="Arial"/>
    </w:rPr>
  </w:style>
  <w:style w:type="paragraph" w:styleId="Footer">
    <w:name w:val="footer"/>
    <w:basedOn w:val="Normal"/>
    <w:link w:val="FooterChar"/>
    <w:uiPriority w:val="99"/>
    <w:unhideWhenUsed/>
    <w:rsid w:val="003A38B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38BA"/>
    <w:rPr>
      <w:rFonts w:ascii="Arial" w:hAnsi="Arial"/>
    </w:rPr>
  </w:style>
  <w:style w:type="character" w:styleId="Hyperlink">
    <w:name w:val="Hyperlink"/>
    <w:rsid w:val="00BC0132"/>
    <w:rPr>
      <w:color w:val="0563C1"/>
      <w:u w:val="single"/>
    </w:rPr>
  </w:style>
  <w:style w:type="character" w:styleId="CommentReference">
    <w:name w:val="annotation reference"/>
    <w:basedOn w:val="DefaultParagraphFont"/>
    <w:uiPriority w:val="99"/>
    <w:semiHidden/>
    <w:unhideWhenUsed/>
    <w:rsid w:val="00F55C50"/>
    <w:rPr>
      <w:sz w:val="16"/>
      <w:szCs w:val="16"/>
    </w:rPr>
  </w:style>
  <w:style w:type="paragraph" w:styleId="CommentText">
    <w:name w:val="annotation text"/>
    <w:basedOn w:val="Normal"/>
    <w:link w:val="CommentTextChar"/>
    <w:uiPriority w:val="99"/>
    <w:unhideWhenUsed/>
    <w:rsid w:val="00F55C50"/>
    <w:pPr>
      <w:spacing w:line="240" w:lineRule="auto"/>
    </w:pPr>
    <w:rPr>
      <w:sz w:val="20"/>
      <w:szCs w:val="20"/>
    </w:rPr>
  </w:style>
  <w:style w:type="character" w:customStyle="1" w:styleId="CommentTextChar">
    <w:name w:val="Comment Text Char"/>
    <w:basedOn w:val="DefaultParagraphFont"/>
    <w:link w:val="CommentText"/>
    <w:uiPriority w:val="99"/>
    <w:rsid w:val="00F55C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5C50"/>
    <w:rPr>
      <w:b/>
      <w:bCs/>
    </w:rPr>
  </w:style>
  <w:style w:type="character" w:customStyle="1" w:styleId="CommentSubjectChar">
    <w:name w:val="Comment Subject Char"/>
    <w:basedOn w:val="CommentTextChar"/>
    <w:link w:val="CommentSubject"/>
    <w:uiPriority w:val="99"/>
    <w:semiHidden/>
    <w:rsid w:val="00F55C5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ildlife.ca.gov/Conservation/LSA/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105</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Jereb</dc:creator>
  <cp:keywords/>
  <dc:description/>
  <cp:lastModifiedBy>Hailey Lang</cp:lastModifiedBy>
  <cp:revision>2</cp:revision>
  <dcterms:created xsi:type="dcterms:W3CDTF">2021-12-20T21:07:00Z</dcterms:created>
  <dcterms:modified xsi:type="dcterms:W3CDTF">2021-12-21T17:48:00Z</dcterms:modified>
</cp:coreProperties>
</file>