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48A" w:rsidRDefault="0091748A"/>
    <w:p w:rsidR="00705D6C" w:rsidRPr="00645D62" w:rsidRDefault="00705D6C" w:rsidP="00705D6C">
      <w:pPr>
        <w:jc w:val="center"/>
        <w:rPr>
          <w:u w:val="single"/>
        </w:rPr>
      </w:pPr>
      <w:r>
        <w:t>MEMORANDUM</w:t>
      </w:r>
      <w:r w:rsidR="008046B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8517"/>
      </w:tblGrid>
      <w:tr w:rsidR="00705D6C" w:rsidTr="00710E33">
        <w:trPr>
          <w:trHeight w:val="432"/>
        </w:trPr>
        <w:tc>
          <w:tcPr>
            <w:tcW w:w="843" w:type="dxa"/>
          </w:tcPr>
          <w:p w:rsidR="00705D6C" w:rsidRDefault="00710E33" w:rsidP="00710E33">
            <w:pPr>
              <w:jc w:val="right"/>
            </w:pPr>
            <w:r>
              <w:t>To:</w:t>
            </w:r>
          </w:p>
        </w:tc>
        <w:tc>
          <w:tcPr>
            <w:tcW w:w="8732" w:type="dxa"/>
          </w:tcPr>
          <w:p w:rsidR="00705D6C" w:rsidRDefault="00927DAB" w:rsidP="00705D6C">
            <w:r>
              <w:t>Siskiyou County Board of Supervisors</w:t>
            </w:r>
          </w:p>
        </w:tc>
      </w:tr>
      <w:tr w:rsidR="00705D6C" w:rsidTr="00710E33">
        <w:trPr>
          <w:trHeight w:val="432"/>
        </w:trPr>
        <w:tc>
          <w:tcPr>
            <w:tcW w:w="843" w:type="dxa"/>
          </w:tcPr>
          <w:p w:rsidR="00705D6C" w:rsidRDefault="00710E33" w:rsidP="00710E33">
            <w:pPr>
              <w:jc w:val="right"/>
            </w:pPr>
            <w:r>
              <w:t>From:</w:t>
            </w:r>
          </w:p>
        </w:tc>
        <w:tc>
          <w:tcPr>
            <w:tcW w:w="8732" w:type="dxa"/>
          </w:tcPr>
          <w:p w:rsidR="00705D6C" w:rsidRPr="00211B3D" w:rsidRDefault="00927DAB" w:rsidP="00391BCF">
            <w:pPr>
              <w:rPr>
                <w:b/>
              </w:rPr>
            </w:pPr>
            <w:r>
              <w:t>County Counsel</w:t>
            </w:r>
            <w:r w:rsidR="00391BCF">
              <w:t xml:space="preserve"> (Bill Carroll, Deputy County Counsel)</w:t>
            </w:r>
          </w:p>
        </w:tc>
      </w:tr>
      <w:tr w:rsidR="00705D6C" w:rsidTr="00710E33">
        <w:trPr>
          <w:trHeight w:val="432"/>
        </w:trPr>
        <w:tc>
          <w:tcPr>
            <w:tcW w:w="843" w:type="dxa"/>
          </w:tcPr>
          <w:p w:rsidR="00705D6C" w:rsidRDefault="00710E33" w:rsidP="00710E33">
            <w:pPr>
              <w:jc w:val="right"/>
            </w:pPr>
            <w:r>
              <w:t>Date</w:t>
            </w:r>
          </w:p>
        </w:tc>
        <w:tc>
          <w:tcPr>
            <w:tcW w:w="8732" w:type="dxa"/>
          </w:tcPr>
          <w:p w:rsidR="00705D6C" w:rsidRDefault="00C86B5B" w:rsidP="00825EDE">
            <w:r>
              <w:t>October 7</w:t>
            </w:r>
            <w:r w:rsidR="00997612">
              <w:t xml:space="preserve">, </w:t>
            </w:r>
            <w:r w:rsidR="00825EDE">
              <w:t xml:space="preserve"> 2021</w:t>
            </w:r>
          </w:p>
        </w:tc>
      </w:tr>
      <w:tr w:rsidR="00710E33" w:rsidTr="00710E33">
        <w:trPr>
          <w:trHeight w:val="279"/>
        </w:trPr>
        <w:tc>
          <w:tcPr>
            <w:tcW w:w="843" w:type="dxa"/>
          </w:tcPr>
          <w:p w:rsidR="00710E33" w:rsidRDefault="00710E33" w:rsidP="00710E33">
            <w:pPr>
              <w:jc w:val="right"/>
            </w:pPr>
            <w:r>
              <w:t>Re:</w:t>
            </w:r>
          </w:p>
        </w:tc>
        <w:tc>
          <w:tcPr>
            <w:tcW w:w="8732" w:type="dxa"/>
          </w:tcPr>
          <w:p w:rsidR="00710E33" w:rsidRDefault="001F100A" w:rsidP="00155F56">
            <w:r>
              <w:t>Hearing for lien of properties</w:t>
            </w:r>
          </w:p>
        </w:tc>
      </w:tr>
    </w:tbl>
    <w:p w:rsidR="00705D6C" w:rsidRDefault="00705D6C" w:rsidP="00705D6C">
      <w:pPr>
        <w:pBdr>
          <w:bottom w:val="single" w:sz="12" w:space="1" w:color="auto"/>
        </w:pBdr>
      </w:pPr>
    </w:p>
    <w:p w:rsidR="00FC1EC6" w:rsidRDefault="00FC1EC6" w:rsidP="00FC1EC6">
      <w:r>
        <w:t xml:space="preserve">This agenda item is to recover unpaid fines arising from administrative citations for violations of Chapter 10.14 </w:t>
      </w:r>
      <w:r w:rsidR="00BF3223">
        <w:t xml:space="preserve">of the County Code </w:t>
      </w:r>
      <w:r>
        <w:t xml:space="preserve">(cultivation of cannabis).  That Chapter provides an option to recover fines </w:t>
      </w:r>
      <w:r w:rsidR="00BF3223">
        <w:t>b</w:t>
      </w:r>
      <w:r>
        <w:t xml:space="preserve">y means of </w:t>
      </w:r>
      <w:r w:rsidR="00391BCF">
        <w:t>placing a lien</w:t>
      </w:r>
      <w:r>
        <w:t xml:space="preserve"> </w:t>
      </w:r>
      <w:r w:rsidR="00764140">
        <w:t xml:space="preserve">on </w:t>
      </w:r>
      <w:r>
        <w:t xml:space="preserve">the real property </w:t>
      </w:r>
      <w:r w:rsidR="001E66F5">
        <w:t xml:space="preserve">which gave rise to the violations.  </w:t>
      </w:r>
      <w:r>
        <w:t xml:space="preserve"> </w:t>
      </w:r>
    </w:p>
    <w:p w:rsidR="002579FB" w:rsidRPr="00805E1D" w:rsidRDefault="002579FB" w:rsidP="002579FB">
      <w:pPr>
        <w:rPr>
          <w:b/>
        </w:rPr>
      </w:pPr>
      <w:r>
        <w:rPr>
          <w:b/>
        </w:rPr>
        <w:t>Hearing</w:t>
      </w:r>
    </w:p>
    <w:p w:rsidR="00410CC6" w:rsidRDefault="00410CC6" w:rsidP="00FC1EC6">
      <w:r>
        <w:t>Generally, if a property owner were to appear and “protest”, such a protest would be limi</w:t>
      </w:r>
      <w:r w:rsidR="008046B2">
        <w:t>ted to the proposed lien itself, i.e.</w:t>
      </w:r>
      <w:r>
        <w:t xml:space="preserve"> such </w:t>
      </w:r>
      <w:r w:rsidR="008046B2">
        <w:t xml:space="preserve">issues </w:t>
      </w:r>
      <w:r>
        <w:t>as the amount owing, ownership of the property or property identifier such as APN or address.</w:t>
      </w:r>
      <w:r w:rsidR="00670FFB">
        <w:t xml:space="preserve">  (</w:t>
      </w:r>
      <w:r w:rsidR="00670FFB" w:rsidRPr="00645D62">
        <w:rPr>
          <w:b/>
        </w:rPr>
        <w:t>See step</w:t>
      </w:r>
      <w:r w:rsidR="00764140" w:rsidRPr="00645D62">
        <w:rPr>
          <w:b/>
        </w:rPr>
        <w:t>s</w:t>
      </w:r>
      <w:r w:rsidR="00670FFB" w:rsidRPr="00645D62">
        <w:rPr>
          <w:b/>
        </w:rPr>
        <w:t xml:space="preserve"> 6</w:t>
      </w:r>
      <w:r w:rsidR="00764140" w:rsidRPr="00645D62">
        <w:rPr>
          <w:b/>
        </w:rPr>
        <w:t>-10</w:t>
      </w:r>
      <w:r w:rsidR="00670FFB">
        <w:t xml:space="preserve"> of the procedures attached for more specific information</w:t>
      </w:r>
      <w:r w:rsidR="00764140">
        <w:t xml:space="preserve"> on conduct of the hearing</w:t>
      </w:r>
      <w:r w:rsidR="00670FFB">
        <w:t>).</w:t>
      </w:r>
    </w:p>
    <w:p w:rsidR="00D5644A" w:rsidRDefault="00D5644A" w:rsidP="00FC1EC6">
      <w:r>
        <w:t>If a</w:t>
      </w:r>
      <w:r w:rsidR="00670FFB">
        <w:t>n oral</w:t>
      </w:r>
      <w:r>
        <w:t xml:space="preserve"> protest does occur and staff cannot immediately address the issues raised at the moment of hearing, then the property could be </w:t>
      </w:r>
      <w:r w:rsidR="008046B2">
        <w:t>removed</w:t>
      </w:r>
      <w:r>
        <w:t xml:space="preserve"> from the pending resolution and </w:t>
      </w:r>
      <w:r w:rsidR="008046B2">
        <w:t>the matter returned at a later date</w:t>
      </w:r>
      <w:r>
        <w:t>.</w:t>
      </w:r>
      <w:r w:rsidR="00670FFB">
        <w:t xml:space="preserve">  </w:t>
      </w:r>
    </w:p>
    <w:p w:rsidR="00D5644A" w:rsidRDefault="001521DC" w:rsidP="00FC1EC6">
      <w:r>
        <w:t>If</w:t>
      </w:r>
      <w:r w:rsidR="008046B2">
        <w:t xml:space="preserve"> there is no protest, or a protest is heard completely, then </w:t>
      </w:r>
      <w:r w:rsidR="00D5644A">
        <w:t>the Board of Supervisors is authorized to confirm modify or discharge the lien</w:t>
      </w:r>
      <w:r w:rsidR="008046B2">
        <w:t xml:space="preserve"> for each property</w:t>
      </w:r>
      <w:r w:rsidR="00D5644A">
        <w:t xml:space="preserve"> (SCC § 10-14.100(g)(vii))</w:t>
      </w:r>
      <w:r w:rsidR="00764140">
        <w:t>.  No restrictions on that power are set forth</w:t>
      </w:r>
      <w:r w:rsidR="002579FB">
        <w:t xml:space="preserve"> by the </w:t>
      </w:r>
      <w:r w:rsidR="003C41E5">
        <w:t>County Code</w:t>
      </w:r>
      <w:r w:rsidR="00764140">
        <w:t>.</w:t>
      </w:r>
    </w:p>
    <w:p w:rsidR="002E4194" w:rsidRDefault="00805E1D" w:rsidP="00805E1D">
      <w:r>
        <w:t xml:space="preserve">If you </w:t>
      </w:r>
      <w:r w:rsidR="00764140">
        <w:t xml:space="preserve">so </w:t>
      </w:r>
      <w:r>
        <w:t>wish</w:t>
      </w:r>
      <w:r w:rsidR="002E4194">
        <w:t xml:space="preserve"> to review</w:t>
      </w:r>
      <w:r>
        <w:t>, attached is a technical outline of the steps to impose a lien.</w:t>
      </w:r>
      <w:r w:rsidR="002E4194">
        <w:t xml:space="preserve">  (Presently, no written protests have been received.)</w:t>
      </w:r>
    </w:p>
    <w:p w:rsidR="00805E1D" w:rsidRPr="00805E1D" w:rsidRDefault="00805E1D" w:rsidP="00FC1EC6">
      <w:pPr>
        <w:rPr>
          <w:b/>
        </w:rPr>
      </w:pPr>
      <w:r>
        <w:rPr>
          <w:b/>
        </w:rPr>
        <w:t>Post-hearing</w:t>
      </w:r>
    </w:p>
    <w:p w:rsidR="00410CC6" w:rsidRDefault="001521DC" w:rsidP="00FC1EC6">
      <w:r>
        <w:t>After the Board acts</w:t>
      </w:r>
      <w:r w:rsidR="002579FB">
        <w:t>,</w:t>
      </w:r>
      <w:r>
        <w:t xml:space="preserve"> and </w:t>
      </w:r>
      <w:r w:rsidR="00764140">
        <w:t xml:space="preserve">if it </w:t>
      </w:r>
      <w:r>
        <w:t xml:space="preserve">approves (or modifies) the liens, </w:t>
      </w:r>
      <w:r w:rsidR="00D5644A">
        <w:t xml:space="preserve">then County Counsel would prepare </w:t>
      </w:r>
      <w:r w:rsidR="00764140">
        <w:t>the lien document</w:t>
      </w:r>
      <w:r w:rsidR="00D5644A">
        <w:t>, to be executed by the County Clerk, and record that lien upon the offending property.  The lien itself would become due and payable upon any attempted sale of the property</w:t>
      </w:r>
      <w:r w:rsidR="00644939">
        <w:t>, dependent on its priority with other liens</w:t>
      </w:r>
      <w:r w:rsidR="00D5644A">
        <w:t>.</w:t>
      </w:r>
      <w:r w:rsidR="00644939">
        <w:rPr>
          <w:rStyle w:val="FootnoteReference"/>
        </w:rPr>
        <w:footnoteReference w:id="1"/>
      </w:r>
      <w:r w:rsidR="00D5644A">
        <w:t xml:space="preserve">    </w:t>
      </w:r>
    </w:p>
    <w:p w:rsidR="001E66F5" w:rsidRPr="00093E1C" w:rsidRDefault="00093E1C" w:rsidP="00093E1C">
      <w:pPr>
        <w:jc w:val="center"/>
        <w:rPr>
          <w:b/>
        </w:rPr>
      </w:pPr>
      <w:r>
        <w:rPr>
          <w:b/>
        </w:rPr>
        <w:lastRenderedPageBreak/>
        <w:t>Lien imposition procedures under SCC § 10-14.100(g)</w:t>
      </w:r>
    </w:p>
    <w:p w:rsidR="00093E1C" w:rsidRDefault="00093E1C" w:rsidP="001E66F5"/>
    <w:p w:rsidR="001E66F5" w:rsidRPr="00670FFB" w:rsidRDefault="001E66F5" w:rsidP="001E66F5">
      <w:r w:rsidRPr="00670FFB">
        <w:t xml:space="preserve">1.  The enforcing officer shall prepare and file with the clerk of the </w:t>
      </w:r>
      <w:r w:rsidR="00764140">
        <w:t>B</w:t>
      </w:r>
      <w:r w:rsidRPr="00670FFB">
        <w:t xml:space="preserve">oard of </w:t>
      </w:r>
      <w:r w:rsidR="00764140">
        <w:t>S</w:t>
      </w:r>
      <w:r w:rsidRPr="00670FFB">
        <w:t>upervisors a report stating the amounts due and owing.</w:t>
      </w:r>
    </w:p>
    <w:p w:rsidR="001E66F5" w:rsidRPr="00670FFB" w:rsidRDefault="00093E1C" w:rsidP="00BF3223">
      <w:pPr>
        <w:ind w:left="720"/>
        <w:rPr>
          <w:i/>
        </w:rPr>
      </w:pPr>
      <w:r>
        <w:rPr>
          <w:b/>
        </w:rPr>
        <w:t xml:space="preserve">Note: </w:t>
      </w:r>
      <w:r w:rsidR="001E66F5" w:rsidRPr="00670FFB">
        <w:rPr>
          <w:i/>
        </w:rPr>
        <w:t xml:space="preserve">Attached </w:t>
      </w:r>
      <w:r w:rsidR="001D2AF2">
        <w:rPr>
          <w:i/>
        </w:rPr>
        <w:t>to the proposed resolution is a list of properties, owners and amounts owing</w:t>
      </w:r>
      <w:r w:rsidR="001E66F5" w:rsidRPr="00670FFB">
        <w:rPr>
          <w:i/>
        </w:rPr>
        <w:t>.</w:t>
      </w:r>
    </w:p>
    <w:p w:rsidR="00670FFB" w:rsidRPr="00AE3CF9" w:rsidRDefault="00670FFB" w:rsidP="001F7BAC">
      <w:pPr>
        <w:ind w:firstLine="720"/>
      </w:pPr>
    </w:p>
    <w:p w:rsidR="001E66F5" w:rsidRPr="00AE3CF9" w:rsidRDefault="001E66F5" w:rsidP="001E66F5">
      <w:pPr>
        <w:rPr>
          <w:i/>
        </w:rPr>
      </w:pPr>
      <w:r>
        <w:t xml:space="preserve">2.  </w:t>
      </w:r>
      <w:r w:rsidRPr="00670FFB">
        <w:t xml:space="preserve">The clerk of the board will fix a time, date and place for the </w:t>
      </w:r>
      <w:r w:rsidR="00AE5803">
        <w:t>B</w:t>
      </w:r>
      <w:r w:rsidRPr="00670FFB">
        <w:t xml:space="preserve">oard of </w:t>
      </w:r>
      <w:r w:rsidR="00AE5803">
        <w:t>S</w:t>
      </w:r>
      <w:r w:rsidRPr="00670FFB">
        <w:t>upervisors to consider the report and an</w:t>
      </w:r>
      <w:r w:rsidR="001F7BAC" w:rsidRPr="00670FFB">
        <w:t>y protests or objections to it.</w:t>
      </w:r>
    </w:p>
    <w:p w:rsidR="001F7BAC" w:rsidRPr="00670FFB" w:rsidRDefault="00093E1C" w:rsidP="001F7BAC">
      <w:pPr>
        <w:ind w:firstLine="720"/>
        <w:rPr>
          <w:i/>
        </w:rPr>
      </w:pPr>
      <w:r>
        <w:rPr>
          <w:b/>
        </w:rPr>
        <w:t xml:space="preserve">Note: </w:t>
      </w:r>
      <w:r w:rsidR="001F7BAC" w:rsidRPr="00670FFB">
        <w:rPr>
          <w:i/>
        </w:rPr>
        <w:t>By this agenda, the time date and place has been fixed.</w:t>
      </w:r>
    </w:p>
    <w:p w:rsidR="00670FFB" w:rsidRPr="00AE3CF9" w:rsidRDefault="00670FFB" w:rsidP="001F7BAC">
      <w:pPr>
        <w:ind w:firstLine="720"/>
      </w:pPr>
    </w:p>
    <w:p w:rsidR="001F7BAC" w:rsidRPr="00670FFB" w:rsidRDefault="001F7BAC" w:rsidP="001F7BAC">
      <w:r>
        <w:t xml:space="preserve">3.  </w:t>
      </w:r>
      <w:r w:rsidRPr="00670FFB">
        <w:t>The clerk of the board shall serve the owner of the property with a hearing notice not less than ten (1</w:t>
      </w:r>
      <w:r w:rsidR="00764140">
        <w:t>0</w:t>
      </w:r>
      <w:r w:rsidRPr="00670FFB">
        <w:t xml:space="preserve">) days before the hearing date.  The notice must set forth the amount of the delinquent penalty that is due.  Notice must be delivered by first class mail to the address shown on the las equalized assessment roll or as otherwise known. </w:t>
      </w:r>
    </w:p>
    <w:p w:rsidR="001F7BAC" w:rsidRPr="00670FFB" w:rsidRDefault="00093E1C" w:rsidP="00BF3223">
      <w:pPr>
        <w:ind w:left="720"/>
        <w:rPr>
          <w:i/>
        </w:rPr>
      </w:pPr>
      <w:r>
        <w:rPr>
          <w:b/>
        </w:rPr>
        <w:t xml:space="preserve">Note: </w:t>
      </w:r>
      <w:r w:rsidR="00F11757">
        <w:rPr>
          <w:i/>
        </w:rPr>
        <w:t xml:space="preserve">The clerk of the board has mailed the appropriate </w:t>
      </w:r>
      <w:proofErr w:type="gramStart"/>
      <w:r w:rsidR="00F11757">
        <w:rPr>
          <w:i/>
        </w:rPr>
        <w:t>letters.</w:t>
      </w:r>
      <w:r w:rsidR="001F7BAC" w:rsidRPr="00670FFB">
        <w:rPr>
          <w:i/>
        </w:rPr>
        <w:t>.</w:t>
      </w:r>
      <w:proofErr w:type="gramEnd"/>
    </w:p>
    <w:p w:rsidR="00670FFB" w:rsidRDefault="00670FFB" w:rsidP="001F7BAC"/>
    <w:p w:rsidR="001F7BAC" w:rsidRPr="00670FFB" w:rsidRDefault="001F7BAC" w:rsidP="001F7BAC">
      <w:r>
        <w:t xml:space="preserve">4.  </w:t>
      </w:r>
      <w:r w:rsidRPr="00670FFB">
        <w:t>Service by mail is effective on the date of mailing and failure of the owner to actually receive notice does not affect its validity.</w:t>
      </w:r>
    </w:p>
    <w:p w:rsidR="00670FFB" w:rsidRDefault="00CF7AB8" w:rsidP="00177A72">
      <w:pPr>
        <w:ind w:left="720"/>
        <w:rPr>
          <w:i/>
        </w:rPr>
      </w:pPr>
      <w:r>
        <w:t xml:space="preserve">   </w:t>
      </w:r>
      <w:r w:rsidR="00177A72">
        <w:rPr>
          <w:b/>
        </w:rPr>
        <w:t>Note:</w:t>
      </w:r>
      <w:r w:rsidR="00177A72">
        <w:t xml:space="preserve">  </w:t>
      </w:r>
      <w:r w:rsidR="00177A72">
        <w:rPr>
          <w:i/>
        </w:rPr>
        <w:t>No mailings were returned as undelivered.</w:t>
      </w:r>
    </w:p>
    <w:p w:rsidR="00E508FC" w:rsidRPr="00177A72" w:rsidRDefault="00E508FC" w:rsidP="00177A72">
      <w:pPr>
        <w:ind w:left="720"/>
        <w:rPr>
          <w:i/>
        </w:rPr>
      </w:pPr>
      <w:bookmarkStart w:id="0" w:name="_GoBack"/>
      <w:bookmarkEnd w:id="0"/>
    </w:p>
    <w:p w:rsidR="001F7BAC" w:rsidRPr="00670FFB" w:rsidRDefault="001F7BAC" w:rsidP="00705D6C">
      <w:r>
        <w:t xml:space="preserve">5.  </w:t>
      </w:r>
      <w:r w:rsidRPr="00670FFB">
        <w:t>Any person whose real property is subject to a lien may file a written protest with the clerk of the board of supervisors and/or may protest orally at the board of supervisors meeting.</w:t>
      </w:r>
    </w:p>
    <w:p w:rsidR="001F7BAC" w:rsidRPr="00670FFB" w:rsidRDefault="001F7BAC" w:rsidP="00705D6C">
      <w:pPr>
        <w:rPr>
          <w:i/>
        </w:rPr>
      </w:pPr>
      <w:r>
        <w:tab/>
      </w:r>
      <w:r w:rsidR="00093E1C">
        <w:rPr>
          <w:b/>
        </w:rPr>
        <w:t xml:space="preserve">Note:  </w:t>
      </w:r>
      <w:r w:rsidRPr="00670FFB">
        <w:rPr>
          <w:i/>
        </w:rPr>
        <w:t xml:space="preserve">No written protests have been received </w:t>
      </w:r>
      <w:r w:rsidR="00AE3CF9" w:rsidRPr="00670FFB">
        <w:rPr>
          <w:i/>
        </w:rPr>
        <w:t>as of the writing of this memo.</w:t>
      </w:r>
    </w:p>
    <w:p w:rsidR="00B23DB8" w:rsidRDefault="00B23DB8" w:rsidP="00705D6C"/>
    <w:p w:rsidR="00177A72" w:rsidRDefault="00177A72" w:rsidP="00705D6C"/>
    <w:p w:rsidR="00177A72" w:rsidRDefault="00177A72" w:rsidP="00705D6C"/>
    <w:p w:rsidR="00177A72" w:rsidRDefault="00177A72" w:rsidP="00705D6C"/>
    <w:p w:rsidR="00AE3CF9" w:rsidRDefault="00AE3CF9" w:rsidP="00764140">
      <w:r>
        <w:t xml:space="preserve">6.  </w:t>
      </w:r>
      <w:r w:rsidRPr="00670FFB">
        <w:t>If an oral protest is received</w:t>
      </w:r>
      <w:r w:rsidR="004C4DFF" w:rsidRPr="00670FFB">
        <w:t xml:space="preserve">, then the Board </w:t>
      </w:r>
      <w:r w:rsidR="00764140">
        <w:t xml:space="preserve">should hear the property owner and ask </w:t>
      </w:r>
      <w:r w:rsidRPr="00670FFB">
        <w:t>the property owner to set forth his</w:t>
      </w:r>
      <w:r w:rsidR="00764140">
        <w:t xml:space="preserve"> or her</w:t>
      </w:r>
      <w:r w:rsidRPr="00670FFB">
        <w:t xml:space="preserve"> grounds of protest.  </w:t>
      </w:r>
    </w:p>
    <w:p w:rsidR="00997612" w:rsidRDefault="00997612" w:rsidP="00764140">
      <w:r>
        <w:tab/>
        <w:t>Preliminary questions to ask would be:</w:t>
      </w:r>
    </w:p>
    <w:p w:rsidR="00997612" w:rsidRDefault="00997612" w:rsidP="00764140">
      <w:r>
        <w:tab/>
        <w:t>a.  The speaker’s name.</w:t>
      </w:r>
    </w:p>
    <w:p w:rsidR="00997612" w:rsidRDefault="00997612" w:rsidP="00764140">
      <w:r>
        <w:tab/>
        <w:t>b.  His property address or assessor’s parcel number if known.</w:t>
      </w:r>
    </w:p>
    <w:p w:rsidR="00997612" w:rsidRDefault="00997612" w:rsidP="00764140">
      <w:r>
        <w:tab/>
        <w:t>c.  The citation number.</w:t>
      </w:r>
    </w:p>
    <w:p w:rsidR="00997612" w:rsidRDefault="00997612" w:rsidP="00764140">
      <w:r>
        <w:tab/>
        <w:t>d.  The amount of the citation.</w:t>
      </w:r>
    </w:p>
    <w:p w:rsidR="00997612" w:rsidRPr="00670FFB" w:rsidRDefault="00997612" w:rsidP="00764140">
      <w:r>
        <w:tab/>
        <w:t xml:space="preserve">e.  The grounds for the protest of the proposed lien.  </w:t>
      </w:r>
    </w:p>
    <w:p w:rsidR="00AE3CF9" w:rsidRDefault="00AE3CF9" w:rsidP="00705D6C">
      <w:r>
        <w:tab/>
      </w:r>
    </w:p>
    <w:p w:rsidR="007B0DAD" w:rsidRPr="00670FFB" w:rsidRDefault="007B0DAD" w:rsidP="00705D6C">
      <w:r>
        <w:t xml:space="preserve">7.  </w:t>
      </w:r>
      <w:r w:rsidR="00A04B4B" w:rsidRPr="00670FFB">
        <w:t>Appropriate considerations for a protest would involve purely the lien itself and</w:t>
      </w:r>
      <w:r w:rsidR="00764140">
        <w:t>/or</w:t>
      </w:r>
      <w:r w:rsidR="00A04B4B" w:rsidRPr="00670FFB">
        <w:t xml:space="preserve"> the information in the staff report.  Such considerations might include:</w:t>
      </w:r>
    </w:p>
    <w:p w:rsidR="00A04B4B" w:rsidRPr="00670FFB" w:rsidRDefault="00A04B4B" w:rsidP="00705D6C">
      <w:r w:rsidRPr="00670FFB">
        <w:tab/>
        <w:t>a.  the person has transferred the property and is no longer the owner.</w:t>
      </w:r>
    </w:p>
    <w:p w:rsidR="00A04B4B" w:rsidRPr="00670FFB" w:rsidRDefault="00A04B4B" w:rsidP="00705D6C">
      <w:r w:rsidRPr="00670FFB">
        <w:tab/>
        <w:t>b.  the person has made a partial or full payment.</w:t>
      </w:r>
    </w:p>
    <w:p w:rsidR="00A04B4B" w:rsidRPr="00670FFB" w:rsidRDefault="00A04B4B" w:rsidP="00705D6C">
      <w:r w:rsidRPr="00670FFB">
        <w:tab/>
        <w:t>c.  the fines were incorrectly added.</w:t>
      </w:r>
    </w:p>
    <w:p w:rsidR="004C4DFF" w:rsidRPr="00670FFB" w:rsidRDefault="00F3730B" w:rsidP="00705D6C">
      <w:r w:rsidRPr="00670FFB">
        <w:tab/>
      </w:r>
      <w:r w:rsidR="00093E1C" w:rsidRPr="00670FFB">
        <w:t xml:space="preserve">d.  the property is incorrectly described.  </w:t>
      </w:r>
      <w:r w:rsidR="004C4DFF" w:rsidRPr="00670FFB">
        <w:t xml:space="preserve"> </w:t>
      </w:r>
    </w:p>
    <w:p w:rsidR="00670FFB" w:rsidRPr="00670FFB" w:rsidRDefault="00670FFB" w:rsidP="00705D6C">
      <w:pPr>
        <w:rPr>
          <w:i/>
        </w:rPr>
      </w:pPr>
    </w:p>
    <w:p w:rsidR="00A13DEE" w:rsidRDefault="00A13DEE" w:rsidP="00705D6C">
      <w:r w:rsidRPr="00670FFB">
        <w:t xml:space="preserve">8.  Inappropriate </w:t>
      </w:r>
      <w:r w:rsidR="002579FB">
        <w:t xml:space="preserve">grounds for a protest would include </w:t>
      </w:r>
      <w:r w:rsidRPr="00670FFB">
        <w:t xml:space="preserve">the underlying validity of the </w:t>
      </w:r>
      <w:r w:rsidR="00F3730B" w:rsidRPr="00670FFB">
        <w:t>violations</w:t>
      </w:r>
      <w:r w:rsidR="002579FB">
        <w:t xml:space="preserve"> themselves,</w:t>
      </w:r>
      <w:r w:rsidR="00F3730B" w:rsidRPr="00670FFB">
        <w:t xml:space="preserve"> or </w:t>
      </w:r>
      <w:r w:rsidR="002579FB">
        <w:t xml:space="preserve">the legality of the </w:t>
      </w:r>
      <w:r w:rsidR="00F3730B" w:rsidRPr="00670FFB">
        <w:t>fine amounts</w:t>
      </w:r>
      <w:r w:rsidR="002579FB">
        <w:t xml:space="preserve"> (such arguments having been waived by failing to appeal the citation itself</w:t>
      </w:r>
      <w:r w:rsidR="00645D62">
        <w:t xml:space="preserve"> or the appeal process was completed</w:t>
      </w:r>
      <w:r w:rsidR="002579FB">
        <w:t>)</w:t>
      </w:r>
      <w:r w:rsidR="00F3730B" w:rsidRPr="00670FFB">
        <w:t xml:space="preserve">.  </w:t>
      </w:r>
    </w:p>
    <w:p w:rsidR="00764140" w:rsidRDefault="00764140" w:rsidP="00705D6C"/>
    <w:p w:rsidR="00764140" w:rsidRPr="00670FFB" w:rsidRDefault="00764140" w:rsidP="00705D6C">
      <w:r>
        <w:t>9.  The</w:t>
      </w:r>
      <w:r w:rsidRPr="00670FFB">
        <w:t xml:space="preserve"> Board may ask staff to respond to any specific point or may ask further clarifications from the property owner.</w:t>
      </w:r>
    </w:p>
    <w:p w:rsidR="00764140" w:rsidRDefault="00764140" w:rsidP="00705D6C"/>
    <w:p w:rsidR="00A04B4B" w:rsidRPr="00670FFB" w:rsidRDefault="00764140" w:rsidP="00705D6C">
      <w:r>
        <w:t>10</w:t>
      </w:r>
      <w:r w:rsidR="00A04B4B" w:rsidRPr="00670FFB">
        <w:t xml:space="preserve">.   </w:t>
      </w:r>
      <w:r>
        <w:t>The</w:t>
      </w:r>
      <w:r w:rsidR="00A04B4B" w:rsidRPr="00670FFB">
        <w:t xml:space="preserve"> Board </w:t>
      </w:r>
      <w:r>
        <w:t xml:space="preserve">may decide </w:t>
      </w:r>
      <w:r w:rsidR="00A04B4B" w:rsidRPr="00670FFB">
        <w:t>to confirm, disc</w:t>
      </w:r>
      <w:r>
        <w:t xml:space="preserve">harge or modify the lien amount; or </w:t>
      </w:r>
      <w:proofErr w:type="gramStart"/>
      <w:r>
        <w:t>my</w:t>
      </w:r>
      <w:proofErr w:type="gramEnd"/>
      <w:r>
        <w:t xml:space="preserve"> decide to continue the specific property </w:t>
      </w:r>
      <w:r w:rsidR="00093E1C" w:rsidRPr="00670FFB">
        <w:t xml:space="preserve">to a different date if further investigation is needed.  </w:t>
      </w:r>
    </w:p>
    <w:sectPr w:rsidR="00A04B4B" w:rsidRPr="00670F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939" w:rsidRDefault="00644939" w:rsidP="00644939">
      <w:pPr>
        <w:spacing w:after="0" w:line="240" w:lineRule="auto"/>
      </w:pPr>
      <w:r>
        <w:separator/>
      </w:r>
    </w:p>
  </w:endnote>
  <w:endnote w:type="continuationSeparator" w:id="0">
    <w:p w:rsidR="00644939" w:rsidRDefault="00644939" w:rsidP="0064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939" w:rsidRDefault="00644939" w:rsidP="00644939">
      <w:pPr>
        <w:spacing w:after="0" w:line="240" w:lineRule="auto"/>
      </w:pPr>
      <w:r>
        <w:separator/>
      </w:r>
    </w:p>
  </w:footnote>
  <w:footnote w:type="continuationSeparator" w:id="0">
    <w:p w:rsidR="00644939" w:rsidRDefault="00644939" w:rsidP="00644939">
      <w:pPr>
        <w:spacing w:after="0" w:line="240" w:lineRule="auto"/>
      </w:pPr>
      <w:r>
        <w:continuationSeparator/>
      </w:r>
    </w:p>
  </w:footnote>
  <w:footnote w:id="1">
    <w:p w:rsidR="00644939" w:rsidRDefault="00644939">
      <w:pPr>
        <w:pStyle w:val="FootnoteText"/>
      </w:pPr>
      <w:r>
        <w:rPr>
          <w:rStyle w:val="FootnoteReference"/>
        </w:rPr>
        <w:footnoteRef/>
      </w:r>
      <w:r>
        <w:t xml:space="preserve"> The state statute authorizing the imposition of administrative fines merely states that a local entity may set procedures for enforcement of the fines, but does not </w:t>
      </w:r>
      <w:r w:rsidR="002E4194">
        <w:t>authorize “super priority”</w:t>
      </w:r>
      <w:r w:rsidR="00764140">
        <w:t xml:space="preserve"> status</w:t>
      </w:r>
      <w:r w:rsidR="002E4194">
        <w:t xml:space="preserve"> for the lien.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713FD"/>
    <w:multiLevelType w:val="hybridMultilevel"/>
    <w:tmpl w:val="BE0C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C0A78"/>
    <w:multiLevelType w:val="hybridMultilevel"/>
    <w:tmpl w:val="3DCA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5"/>
    <w:rsid w:val="00093E1C"/>
    <w:rsid w:val="00094E27"/>
    <w:rsid w:val="000D5CB0"/>
    <w:rsid w:val="001106E2"/>
    <w:rsid w:val="001521DC"/>
    <w:rsid w:val="00155F56"/>
    <w:rsid w:val="0016671F"/>
    <w:rsid w:val="00177A72"/>
    <w:rsid w:val="001D2AF2"/>
    <w:rsid w:val="001E66F5"/>
    <w:rsid w:val="001F100A"/>
    <w:rsid w:val="001F7BAC"/>
    <w:rsid w:val="00211B3D"/>
    <w:rsid w:val="002579FB"/>
    <w:rsid w:val="00267E78"/>
    <w:rsid w:val="00270826"/>
    <w:rsid w:val="002716E4"/>
    <w:rsid w:val="00294A36"/>
    <w:rsid w:val="002E4194"/>
    <w:rsid w:val="00326BB0"/>
    <w:rsid w:val="00391BCF"/>
    <w:rsid w:val="003B7063"/>
    <w:rsid w:val="003C41E5"/>
    <w:rsid w:val="00410CC6"/>
    <w:rsid w:val="00437D7D"/>
    <w:rsid w:val="004C4DFF"/>
    <w:rsid w:val="004C57D5"/>
    <w:rsid w:val="004E3C92"/>
    <w:rsid w:val="004E7D8A"/>
    <w:rsid w:val="004F213F"/>
    <w:rsid w:val="0050097F"/>
    <w:rsid w:val="00521383"/>
    <w:rsid w:val="005652C4"/>
    <w:rsid w:val="00587731"/>
    <w:rsid w:val="005D3362"/>
    <w:rsid w:val="00606672"/>
    <w:rsid w:val="00644939"/>
    <w:rsid w:val="00645D62"/>
    <w:rsid w:val="00670FFB"/>
    <w:rsid w:val="006A4275"/>
    <w:rsid w:val="006D0DEB"/>
    <w:rsid w:val="00705D6C"/>
    <w:rsid w:val="00710E33"/>
    <w:rsid w:val="00764140"/>
    <w:rsid w:val="007B0DAD"/>
    <w:rsid w:val="008046B2"/>
    <w:rsid w:val="00805E1D"/>
    <w:rsid w:val="00825EDE"/>
    <w:rsid w:val="00911263"/>
    <w:rsid w:val="0091748A"/>
    <w:rsid w:val="00927DAB"/>
    <w:rsid w:val="009640FE"/>
    <w:rsid w:val="00997612"/>
    <w:rsid w:val="00A04B4B"/>
    <w:rsid w:val="00A13DEE"/>
    <w:rsid w:val="00A87BAC"/>
    <w:rsid w:val="00AA4064"/>
    <w:rsid w:val="00AE3CF9"/>
    <w:rsid w:val="00AE5275"/>
    <w:rsid w:val="00AE5803"/>
    <w:rsid w:val="00AE5A22"/>
    <w:rsid w:val="00AF1812"/>
    <w:rsid w:val="00B15653"/>
    <w:rsid w:val="00B23DB8"/>
    <w:rsid w:val="00B945DA"/>
    <w:rsid w:val="00B96725"/>
    <w:rsid w:val="00BD134C"/>
    <w:rsid w:val="00BF3223"/>
    <w:rsid w:val="00C21C9E"/>
    <w:rsid w:val="00C318B8"/>
    <w:rsid w:val="00C75F7F"/>
    <w:rsid w:val="00C86B5B"/>
    <w:rsid w:val="00CF7AB8"/>
    <w:rsid w:val="00D415A4"/>
    <w:rsid w:val="00D5644A"/>
    <w:rsid w:val="00E508FC"/>
    <w:rsid w:val="00EC402F"/>
    <w:rsid w:val="00F11757"/>
    <w:rsid w:val="00F33271"/>
    <w:rsid w:val="00F3730B"/>
    <w:rsid w:val="00FC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8EFE"/>
  <w15:docId w15:val="{8267AC13-3456-470F-B53C-3477E4F6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E78"/>
    <w:rPr>
      <w:rFonts w:ascii="Segoe UI" w:hAnsi="Segoe UI" w:cs="Segoe UI"/>
      <w:sz w:val="18"/>
      <w:szCs w:val="18"/>
    </w:rPr>
  </w:style>
  <w:style w:type="paragraph" w:styleId="ListParagraph">
    <w:name w:val="List Paragraph"/>
    <w:basedOn w:val="Normal"/>
    <w:uiPriority w:val="34"/>
    <w:qFormat/>
    <w:rsid w:val="001E66F5"/>
    <w:pPr>
      <w:ind w:left="720"/>
      <w:contextualSpacing/>
    </w:pPr>
  </w:style>
  <w:style w:type="paragraph" w:styleId="FootnoteText">
    <w:name w:val="footnote text"/>
    <w:basedOn w:val="Normal"/>
    <w:link w:val="FootnoteTextChar"/>
    <w:uiPriority w:val="99"/>
    <w:semiHidden/>
    <w:unhideWhenUsed/>
    <w:rsid w:val="006449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939"/>
    <w:rPr>
      <w:sz w:val="20"/>
      <w:szCs w:val="20"/>
    </w:rPr>
  </w:style>
  <w:style w:type="character" w:styleId="FootnoteReference">
    <w:name w:val="footnote reference"/>
    <w:basedOn w:val="DefaultParagraphFont"/>
    <w:uiPriority w:val="99"/>
    <w:semiHidden/>
    <w:unhideWhenUsed/>
    <w:rsid w:val="00644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7525A-D12F-4D7A-88F5-32DC4C08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Carroll</dc:creator>
  <cp:lastModifiedBy>William Carroll</cp:lastModifiedBy>
  <cp:revision>5</cp:revision>
  <cp:lastPrinted>2021-03-03T18:26:00Z</cp:lastPrinted>
  <dcterms:created xsi:type="dcterms:W3CDTF">2021-10-07T18:17:00Z</dcterms:created>
  <dcterms:modified xsi:type="dcterms:W3CDTF">2021-10-07T21:51:00Z</dcterms:modified>
</cp:coreProperties>
</file>