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14266">
              <w:rPr>
                <w:rFonts w:asciiTheme="minorHAnsi" w:hAnsiTheme="minorHAnsi"/>
                <w:b/>
                <w:sz w:val="20"/>
                <w:szCs w:val="20"/>
              </w:rPr>
            </w:r>
            <w:r w:rsidR="00C1426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C139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N/A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E22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E221E">
              <w:rPr>
                <w:rFonts w:asciiTheme="minorHAnsi" w:hAnsiTheme="minorHAnsi"/>
                <w:b/>
                <w:sz w:val="20"/>
                <w:szCs w:val="20"/>
              </w:rPr>
              <w:t>9/7/21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C14266">
              <w:rPr>
                <w:rFonts w:asciiTheme="minorHAnsi" w:hAnsiTheme="minorHAnsi"/>
                <w:b/>
                <w:sz w:val="20"/>
                <w:szCs w:val="20"/>
              </w:rPr>
            </w:r>
            <w:r w:rsidR="00C1426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B7F80" w:rsidRPr="00AB7F80" w:rsidRDefault="00B020B9" w:rsidP="00AB7F8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7F80" w:rsidRPr="00AB7F80">
              <w:rPr>
                <w:rFonts w:asciiTheme="minorHAnsi" w:hAnsiTheme="minorHAnsi"/>
                <w:sz w:val="20"/>
                <w:szCs w:val="20"/>
              </w:rPr>
              <w:t xml:space="preserve">Contract for Services - </w:t>
            </w:r>
          </w:p>
          <w:p w:rsidR="00877DC5" w:rsidRPr="00E66BAF" w:rsidRDefault="00AB7F80" w:rsidP="00C1426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B7F80"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EE221E">
              <w:rPr>
                <w:rFonts w:asciiTheme="minorHAnsi" w:hAnsiTheme="minorHAnsi"/>
                <w:sz w:val="20"/>
                <w:szCs w:val="20"/>
              </w:rPr>
              <w:t>California Institute For Behavioral Health Solutions (CIBHS). CIBHS</w:t>
            </w:r>
            <w:r w:rsidRPr="00AB7F80">
              <w:rPr>
                <w:rFonts w:asciiTheme="minorHAnsi" w:hAnsiTheme="minorHAnsi"/>
                <w:sz w:val="20"/>
                <w:szCs w:val="20"/>
              </w:rPr>
              <w:t xml:space="preserve"> will provide</w:t>
            </w:r>
            <w:r w:rsidR="00E02476">
              <w:rPr>
                <w:rFonts w:asciiTheme="minorHAnsi" w:hAnsiTheme="minorHAnsi"/>
                <w:sz w:val="20"/>
                <w:szCs w:val="20"/>
              </w:rPr>
              <w:t xml:space="preserve"> Strengths Model Case Management training workshops and curriculum</w:t>
            </w:r>
            <w:r w:rsidR="00C66DFC">
              <w:rPr>
                <w:rFonts w:asciiTheme="minorHAnsi" w:hAnsiTheme="minorHAnsi"/>
                <w:sz w:val="20"/>
                <w:szCs w:val="20"/>
              </w:rPr>
              <w:t xml:space="preserve"> whose </w:t>
            </w:r>
            <w:r w:rsidR="00E02476">
              <w:rPr>
                <w:rFonts w:asciiTheme="minorHAnsi" w:hAnsiTheme="minorHAnsi"/>
                <w:sz w:val="20"/>
                <w:szCs w:val="20"/>
              </w:rPr>
              <w:t>primary focus is a recovery oriented, evidence-based case management model approach to</w:t>
            </w:r>
            <w:r w:rsidR="00C66DFC">
              <w:rPr>
                <w:rFonts w:asciiTheme="minorHAnsi" w:hAnsiTheme="minorHAnsi"/>
                <w:sz w:val="20"/>
                <w:szCs w:val="20"/>
              </w:rPr>
              <w:t xml:space="preserve"> help</w:t>
            </w:r>
            <w:r w:rsidR="00E02476">
              <w:rPr>
                <w:rFonts w:asciiTheme="minorHAnsi" w:hAnsiTheme="minorHAnsi"/>
                <w:sz w:val="20"/>
                <w:szCs w:val="20"/>
              </w:rPr>
              <w:t xml:space="preserve"> people</w:t>
            </w:r>
            <w:r w:rsidR="00C66DFC">
              <w:rPr>
                <w:rFonts w:asciiTheme="minorHAnsi" w:hAnsiTheme="minorHAnsi"/>
                <w:sz w:val="20"/>
                <w:szCs w:val="20"/>
              </w:rPr>
              <w:t xml:space="preserve"> with mental illness build or rebuild lives that have meaning, purpose and value</w:t>
            </w:r>
            <w:r w:rsidR="00E02476">
              <w:rPr>
                <w:rFonts w:asciiTheme="minorHAnsi" w:hAnsiTheme="minorHAnsi"/>
                <w:sz w:val="20"/>
                <w:szCs w:val="20"/>
              </w:rPr>
              <w:t>.</w:t>
            </w:r>
            <w:r w:rsidR="00C14266">
              <w:rPr>
                <w:rFonts w:asciiTheme="minorHAnsi" w:hAnsiTheme="minorHAnsi"/>
                <w:sz w:val="20"/>
                <w:szCs w:val="20"/>
              </w:rPr>
              <w:t xml:space="preserve"> The term of the contract is July 1, 2021 to June 30, 2023.</w:t>
            </w:r>
            <w:r w:rsidR="00E0247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14266">
              <w:rPr>
                <w:rFonts w:asciiTheme="minorHAnsi" w:hAnsiTheme="minorHAnsi"/>
                <w:sz w:val="18"/>
                <w:szCs w:val="18"/>
              </w:rPr>
            </w:r>
            <w:r w:rsidR="00C142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14266">
              <w:rPr>
                <w:rFonts w:asciiTheme="minorHAnsi" w:hAnsiTheme="minorHAnsi"/>
                <w:sz w:val="18"/>
                <w:szCs w:val="18"/>
              </w:rPr>
            </w:r>
            <w:r w:rsidR="00C142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EE221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F80">
              <w:rPr>
                <w:rFonts w:asciiTheme="minorHAnsi" w:hAnsiTheme="minorHAnsi"/>
                <w:sz w:val="18"/>
                <w:szCs w:val="18"/>
              </w:rPr>
              <w:t>$3</w:t>
            </w:r>
            <w:r w:rsidR="00EE221E">
              <w:rPr>
                <w:rFonts w:asciiTheme="minorHAnsi" w:hAnsiTheme="minorHAnsi"/>
                <w:sz w:val="18"/>
                <w:szCs w:val="18"/>
              </w:rPr>
              <w:t>8,150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C1491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2122</w:t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/2129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AB7F8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F80">
              <w:rPr>
                <w:rFonts w:asciiTheme="minorHAnsi" w:hAnsiTheme="minorHAnsi"/>
                <w:sz w:val="18"/>
                <w:szCs w:val="18"/>
              </w:rPr>
              <w:t>Behavioral Health</w:t>
            </w:r>
            <w:r w:rsidR="00EE221E">
              <w:rPr>
                <w:rFonts w:asciiTheme="minorHAnsi" w:hAnsiTheme="minorHAnsi"/>
                <w:sz w:val="18"/>
                <w:szCs w:val="18"/>
              </w:rPr>
              <w:t>/MHSA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/401031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AB7F8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F80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/MHSA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EE221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72</w:t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9200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EE221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221E">
              <w:rPr>
                <w:rFonts w:asciiTheme="minorHAnsi" w:hAnsiTheme="minorHAnsi"/>
                <w:sz w:val="18"/>
                <w:szCs w:val="18"/>
              </w:rPr>
              <w:t>Training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EE221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166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EE221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WET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14266">
              <w:rPr>
                <w:rFonts w:asciiTheme="minorHAnsi" w:hAnsiTheme="minorHAnsi"/>
                <w:sz w:val="18"/>
                <w:szCs w:val="18"/>
              </w:rPr>
            </w:r>
            <w:r w:rsidR="00C142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14266">
              <w:rPr>
                <w:rFonts w:asciiTheme="minorHAnsi" w:hAnsiTheme="minorHAnsi"/>
                <w:sz w:val="18"/>
                <w:szCs w:val="18"/>
              </w:rPr>
            </w:r>
            <w:r w:rsidR="00C1426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9726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97269">
              <w:rPr>
                <w:rFonts w:asciiTheme="minorHAnsi" w:hAnsiTheme="minorHAnsi"/>
                <w:noProof/>
                <w:sz w:val="18"/>
                <w:szCs w:val="18"/>
              </w:rPr>
              <w:t>This vendor was selected for specialized services provided.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EE221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7F80">
              <w:rPr>
                <w:rFonts w:asciiTheme="minorHAnsi" w:hAnsiTheme="minorHAnsi"/>
                <w:noProof/>
                <w:sz w:val="20"/>
                <w:szCs w:val="20"/>
              </w:rPr>
              <w:t>FY2</w:t>
            </w:r>
            <w:r w:rsidR="00EE221E">
              <w:rPr>
                <w:rFonts w:asciiTheme="minorHAnsi" w:hAnsiTheme="minorHAnsi"/>
                <w:noProof/>
                <w:sz w:val="20"/>
                <w:szCs w:val="20"/>
              </w:rPr>
              <w:t>1/22</w:t>
            </w:r>
            <w:r w:rsidR="00AB7F80">
              <w:rPr>
                <w:rFonts w:asciiTheme="minorHAnsi" w:hAnsiTheme="minorHAnsi"/>
                <w:noProof/>
                <w:sz w:val="20"/>
                <w:szCs w:val="20"/>
              </w:rPr>
              <w:t xml:space="preserve"> 2122-401030-</w:t>
            </w:r>
            <w:r w:rsidR="00EE221E">
              <w:rPr>
                <w:rFonts w:asciiTheme="minorHAnsi" w:hAnsiTheme="minorHAnsi"/>
                <w:noProof/>
                <w:sz w:val="20"/>
                <w:szCs w:val="20"/>
              </w:rPr>
              <w:t>729200 $8,270 &amp; 2129-401031-729200-166 $13,480</w:t>
            </w:r>
            <w:r w:rsidR="00AB7F80">
              <w:rPr>
                <w:rFonts w:asciiTheme="minorHAnsi" w:hAnsiTheme="minorHAnsi"/>
                <w:noProof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EE221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E221E">
              <w:rPr>
                <w:rFonts w:asciiTheme="minorHAnsi" w:hAnsiTheme="minorHAnsi"/>
                <w:sz w:val="20"/>
                <w:szCs w:val="20"/>
              </w:rPr>
              <w:t>FY22/23 2129-401031-729200-166 $16,400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EE221E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41D11">
              <w:rPr>
                <w:rFonts w:asciiTheme="minorHAnsi" w:hAnsiTheme="minorHAnsi"/>
                <w:noProof/>
              </w:rPr>
              <w:t>The Board of Supervisors approve and authorize the Chair to sign the Contract for Services between Siskiyou County Health &amp; Human Services Agency, Behavioral Health Division, and</w:t>
            </w:r>
            <w:r w:rsidR="00AB7F80">
              <w:rPr>
                <w:rFonts w:asciiTheme="minorHAnsi" w:hAnsiTheme="minorHAnsi"/>
                <w:noProof/>
              </w:rPr>
              <w:t xml:space="preserve"> </w:t>
            </w:r>
            <w:r w:rsidR="00EE221E">
              <w:rPr>
                <w:rFonts w:asciiTheme="minorHAnsi" w:hAnsiTheme="minorHAnsi"/>
                <w:noProof/>
              </w:rPr>
              <w:t>California Institute For Behavioral Health Solutions</w:t>
            </w:r>
            <w:r w:rsidR="00AB7F80">
              <w:rPr>
                <w:rFonts w:asciiTheme="minorHAnsi" w:hAnsiTheme="minorHAnsi"/>
                <w:noProof/>
              </w:rPr>
              <w:t xml:space="preserve"> for the term of </w:t>
            </w:r>
            <w:r w:rsidR="00EE221E">
              <w:rPr>
                <w:rFonts w:asciiTheme="minorHAnsi" w:hAnsiTheme="minorHAnsi"/>
                <w:noProof/>
              </w:rPr>
              <w:t>7/1/21</w:t>
            </w:r>
            <w:r w:rsidR="00C14266">
              <w:rPr>
                <w:rFonts w:asciiTheme="minorHAnsi" w:hAnsiTheme="minorHAnsi"/>
                <w:noProof/>
              </w:rPr>
              <w:t xml:space="preserve"> -</w:t>
            </w:r>
            <w:r w:rsidR="00EE221E">
              <w:rPr>
                <w:rFonts w:asciiTheme="minorHAnsi" w:hAnsiTheme="minorHAnsi"/>
                <w:noProof/>
              </w:rPr>
              <w:t xml:space="preserve"> 6/30/23</w:t>
            </w:r>
            <w:r w:rsidR="00AB7F80">
              <w:rPr>
                <w:rFonts w:asciiTheme="minorHAnsi" w:hAnsiTheme="minorHAnsi"/>
                <w:noProof/>
              </w:rPr>
              <w:t>.</w:t>
            </w:r>
            <w:r w:rsidR="00541D11">
              <w:rPr>
                <w:rFonts w:asciiTheme="minorHAnsi" w:hAnsiTheme="minorHAnsi"/>
                <w:noProof/>
              </w:rPr>
              <w:t xml:space="preserve">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EE221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22" w:name="_GoBack"/>
            <w:bookmarkEnd w:id="22"/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EE221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221E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AB7F8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Pls return 1 original to </w:t>
            </w:r>
            <w:r w:rsidR="00AB7F80">
              <w:rPr>
                <w:rFonts w:asciiTheme="minorHAnsi" w:hAnsiTheme="minorHAnsi"/>
                <w:noProof/>
                <w:sz w:val="18"/>
                <w:szCs w:val="18"/>
              </w:rPr>
              <w:t>R. Bullock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at 2060 Campus Dr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9173C"/>
    <w:rsid w:val="001F3E19"/>
    <w:rsid w:val="00212F2B"/>
    <w:rsid w:val="0025026B"/>
    <w:rsid w:val="002677F3"/>
    <w:rsid w:val="00270599"/>
    <w:rsid w:val="0029655A"/>
    <w:rsid w:val="002A08C1"/>
    <w:rsid w:val="002B2152"/>
    <w:rsid w:val="0035119D"/>
    <w:rsid w:val="003761D4"/>
    <w:rsid w:val="00396C4B"/>
    <w:rsid w:val="004200BE"/>
    <w:rsid w:val="004242AC"/>
    <w:rsid w:val="00441197"/>
    <w:rsid w:val="004433C6"/>
    <w:rsid w:val="00443F78"/>
    <w:rsid w:val="004C3523"/>
    <w:rsid w:val="00506225"/>
    <w:rsid w:val="00541D11"/>
    <w:rsid w:val="00557998"/>
    <w:rsid w:val="00593663"/>
    <w:rsid w:val="00597269"/>
    <w:rsid w:val="005F35D7"/>
    <w:rsid w:val="00630A78"/>
    <w:rsid w:val="006331AA"/>
    <w:rsid w:val="00645B7E"/>
    <w:rsid w:val="00662F60"/>
    <w:rsid w:val="00677610"/>
    <w:rsid w:val="006B7EA0"/>
    <w:rsid w:val="00826428"/>
    <w:rsid w:val="008514F8"/>
    <w:rsid w:val="00877DC5"/>
    <w:rsid w:val="009042C7"/>
    <w:rsid w:val="009746DC"/>
    <w:rsid w:val="009A58CF"/>
    <w:rsid w:val="009B4DDF"/>
    <w:rsid w:val="00A1290D"/>
    <w:rsid w:val="00A14EC6"/>
    <w:rsid w:val="00A231FE"/>
    <w:rsid w:val="00A42C6B"/>
    <w:rsid w:val="00A7441D"/>
    <w:rsid w:val="00AB4ED4"/>
    <w:rsid w:val="00AB7F80"/>
    <w:rsid w:val="00B020B9"/>
    <w:rsid w:val="00B23455"/>
    <w:rsid w:val="00B40269"/>
    <w:rsid w:val="00B46A1F"/>
    <w:rsid w:val="00B4714F"/>
    <w:rsid w:val="00B61B93"/>
    <w:rsid w:val="00B744BC"/>
    <w:rsid w:val="00BA0BD7"/>
    <w:rsid w:val="00BB4348"/>
    <w:rsid w:val="00C040CE"/>
    <w:rsid w:val="00C139DA"/>
    <w:rsid w:val="00C14266"/>
    <w:rsid w:val="00C14912"/>
    <w:rsid w:val="00C35CB3"/>
    <w:rsid w:val="00C66DFC"/>
    <w:rsid w:val="00C8022D"/>
    <w:rsid w:val="00CA4F55"/>
    <w:rsid w:val="00CA51DF"/>
    <w:rsid w:val="00CE42D0"/>
    <w:rsid w:val="00D07DC0"/>
    <w:rsid w:val="00D33D82"/>
    <w:rsid w:val="00D62338"/>
    <w:rsid w:val="00D7096F"/>
    <w:rsid w:val="00D736D4"/>
    <w:rsid w:val="00DE7C93"/>
    <w:rsid w:val="00DF4076"/>
    <w:rsid w:val="00E02476"/>
    <w:rsid w:val="00E66BAF"/>
    <w:rsid w:val="00E72FE7"/>
    <w:rsid w:val="00EA12EF"/>
    <w:rsid w:val="00EE221E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984F"/>
  <w15:docId w15:val="{4F896677-B8F4-4648-B2AF-E0E95B8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Rose Bullock</cp:lastModifiedBy>
  <cp:revision>3</cp:revision>
  <cp:lastPrinted>2021-08-04T15:36:00Z</cp:lastPrinted>
  <dcterms:created xsi:type="dcterms:W3CDTF">2021-08-04T15:36:00Z</dcterms:created>
  <dcterms:modified xsi:type="dcterms:W3CDTF">2021-08-04T15:39:00Z</dcterms:modified>
</cp:coreProperties>
</file>