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FD96F4" w:rsidR="009A58CF" w:rsidRPr="004E6635" w:rsidRDefault="001E34EE" w:rsidP="001E34EE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August 3, 2021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34EE">
              <w:rPr>
                <w:rFonts w:cs="Arial"/>
                <w:b/>
                <w:sz w:val="20"/>
                <w:szCs w:val="20"/>
              </w:rPr>
            </w:r>
            <w:r w:rsidR="001E34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3DF7358E" w:rsidR="00A73433" w:rsidRPr="001E34EE" w:rsidRDefault="00A73433" w:rsidP="00A7343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of 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two members to the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ies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B5546F" w:rsidRPr="001E34EE">
              <w:rPr>
                <w:rFonts w:cs="Arial"/>
                <w:sz w:val="20"/>
                <w:szCs w:val="20"/>
              </w:rPr>
              <w:t xml:space="preserve">Siskiyou County </w:t>
            </w:r>
            <w:r w:rsidR="001E34EE" w:rsidRPr="001E34EE">
              <w:rPr>
                <w:rFonts w:cs="Arial"/>
                <w:sz w:val="20"/>
                <w:szCs w:val="20"/>
              </w:rPr>
              <w:t>Assessment Appeals Board, for terms ending September 4, 2023.</w:t>
            </w:r>
            <w:r w:rsidRPr="001E34EE">
              <w:rPr>
                <w:rFonts w:cs="Arial"/>
                <w:sz w:val="20"/>
                <w:szCs w:val="20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</w:p>
          <w:p w14:paraId="5E07A4A4" w14:textId="1908899F" w:rsidR="00877DC5" w:rsidRPr="001E34EE" w:rsidRDefault="001E34EE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Members of the Assessment Appeals Board must have a minimum of five </w:t>
            </w:r>
            <w:proofErr w:type="gramStart"/>
            <w:r w:rsidRPr="001E34EE">
              <w:rPr>
                <w:rFonts w:cs="Arial"/>
                <w:sz w:val="20"/>
                <w:szCs w:val="20"/>
              </w:rPr>
              <w:t>years</w:t>
            </w:r>
            <w:proofErr w:type="gramEnd"/>
            <w:r w:rsidRPr="001E34EE">
              <w:rPr>
                <w:rFonts w:cs="Arial"/>
                <w:sz w:val="20"/>
                <w:szCs w:val="20"/>
              </w:rPr>
              <w:t xml:space="preserve"> professional experience in California as a Certified Public Accountant or Public Accountant, Licensed real estate broker, attorney, property appraiser accredited by a nationally recognized professional organization or a person who is possessed of competent knowledge of property appraisals and taxation. Proof of qualifications is required with application and members of the Assessment Appeals Board must file a Conflict of Interest Form (Form 700) when assuming office and annually. Once appointed, members must attend mandatory training provided by the State Board of Equalization.</w:t>
            </w:r>
          </w:p>
          <w:p w14:paraId="063F644E" w14:textId="4A8579B4" w:rsidR="00D92712" w:rsidRPr="00A73433" w:rsidRDefault="00D92712" w:rsidP="00D92712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>At the time the agenda worksheet was created, the Clerk’s Office had not received any letters of interest in filling the position</w:t>
            </w:r>
            <w:r w:rsidR="001E34EE">
              <w:rPr>
                <w:rFonts w:cs="Arial"/>
                <w:sz w:val="20"/>
                <w:szCs w:val="20"/>
              </w:rPr>
              <w:t>s</w:t>
            </w:r>
            <w:r w:rsidRPr="001E34EE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34EE">
              <w:rPr>
                <w:rFonts w:cs="Arial"/>
                <w:sz w:val="18"/>
                <w:szCs w:val="18"/>
              </w:rPr>
            </w:r>
            <w:r w:rsidR="001E34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34EE">
              <w:rPr>
                <w:rFonts w:cs="Arial"/>
                <w:sz w:val="18"/>
                <w:szCs w:val="18"/>
              </w:rPr>
            </w:r>
            <w:r w:rsidR="001E34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34EE">
              <w:rPr>
                <w:rFonts w:cs="Arial"/>
                <w:sz w:val="18"/>
                <w:szCs w:val="18"/>
              </w:rPr>
            </w:r>
            <w:r w:rsidR="001E34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583255A" w:rsidR="00677610" w:rsidRPr="001E34EE" w:rsidRDefault="00A73433" w:rsidP="001E34EE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1E34EE" w:rsidRPr="001E34EE">
              <w:rPr>
                <w:rFonts w:cs="Arial"/>
                <w:sz w:val="22"/>
                <w:szCs w:val="22"/>
              </w:rPr>
              <w:t>two members to the sc</w:t>
            </w:r>
            <w:bookmarkStart w:id="18" w:name="_GoBack"/>
            <w:bookmarkEnd w:id="18"/>
            <w:r w:rsidR="001E34EE" w:rsidRPr="001E34EE">
              <w:rPr>
                <w:rFonts w:cs="Arial"/>
                <w:sz w:val="22"/>
                <w:szCs w:val="22"/>
              </w:rPr>
              <w:t>heduled vacancies on the Siskiyou County Assessment Appeals Board, for terms ending September 4,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A74A-05C1-43E6-8B55-89C1D4BB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2021-07-26T21:34:00Z</cp:lastPrinted>
  <dcterms:created xsi:type="dcterms:W3CDTF">2021-07-26T21:34:00Z</dcterms:created>
  <dcterms:modified xsi:type="dcterms:W3CDTF">2021-07-26T21:34:00Z</dcterms:modified>
</cp:coreProperties>
</file>