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6F" w:rsidRDefault="001160F9" w:rsidP="00177721">
      <w:pPr>
        <w:pStyle w:val="Heading1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-59690</wp:posOffset>
            </wp:positionV>
            <wp:extent cx="1252855" cy="1202690"/>
            <wp:effectExtent l="0" t="0" r="4445" b="0"/>
            <wp:wrapNone/>
            <wp:docPr id="3" name="Picture 3" descr="coun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unty 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0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222">
        <w:t>S</w:t>
      </w:r>
      <w:r w:rsidR="009B0F6F">
        <w:t xml:space="preserve">ISKIYOU </w:t>
      </w:r>
      <w:smartTag w:uri="urn:schemas-microsoft-com:office:smarttags" w:element="place">
        <w:smartTag w:uri="urn:schemas-microsoft-com:office:smarttags" w:element="PlaceType">
          <w:r w:rsidR="009B0F6F">
            <w:t>COUNTY</w:t>
          </w:r>
        </w:smartTag>
        <w:r w:rsidR="009B0F6F">
          <w:t xml:space="preserve"> </w:t>
        </w:r>
        <w:smartTag w:uri="urn:schemas-microsoft-com:office:smarttags" w:element="PlaceName">
          <w:r w:rsidR="009B0F6F">
            <w:t>LIBRARY</w:t>
          </w:r>
        </w:smartTag>
      </w:smartTag>
    </w:p>
    <w:p w:rsidR="009B0F6F" w:rsidRDefault="009B0F6F" w:rsidP="00177721">
      <w:pPr>
        <w:pStyle w:val="Heading2"/>
      </w:pPr>
    </w:p>
    <w:p w:rsidR="002F0BA9" w:rsidRPr="002F0BA9" w:rsidRDefault="002F0BA9" w:rsidP="00177721">
      <w:pPr>
        <w:pStyle w:val="Heading2"/>
      </w:pPr>
      <w:r w:rsidRPr="002F0BA9">
        <w:t xml:space="preserve">719 </w:t>
      </w:r>
      <w:smartTag w:uri="urn:schemas-microsoft-com:office:smarttags" w:element="Street">
        <w:smartTag w:uri="urn:schemas-microsoft-com:office:smarttags" w:element="address">
          <w:r w:rsidRPr="002F0BA9">
            <w:t>Fourth Street</w:t>
          </w:r>
        </w:smartTag>
      </w:smartTag>
    </w:p>
    <w:p w:rsidR="009B0F6F" w:rsidRPr="00FB44E6" w:rsidRDefault="009B0F6F" w:rsidP="00177721">
      <w:pPr>
        <w:pStyle w:val="Heading2"/>
        <w:rPr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2F0BA9">
            <w:t>Yreka</w:t>
          </w:r>
        </w:smartTag>
        <w:r w:rsidRPr="002F0BA9">
          <w:t xml:space="preserve">, </w:t>
        </w:r>
        <w:smartTag w:uri="urn:schemas-microsoft-com:office:smarttags" w:element="State">
          <w:r w:rsidRPr="002F0BA9">
            <w:t>California</w:t>
          </w:r>
        </w:smartTag>
        <w:r w:rsidRPr="002F0BA9">
          <w:t xml:space="preserve"> </w:t>
        </w:r>
        <w:smartTag w:uri="urn:schemas-microsoft-com:office:smarttags" w:element="PostalCode">
          <w:r w:rsidRPr="002F0BA9">
            <w:t>96097</w:t>
          </w:r>
        </w:smartTag>
      </w:smartTag>
    </w:p>
    <w:p w:rsidR="009B0F6F" w:rsidRDefault="00E15420" w:rsidP="00242222">
      <w:pPr>
        <w:tabs>
          <w:tab w:val="right" w:pos="9360"/>
        </w:tabs>
        <w:jc w:val="right"/>
        <w:rPr>
          <w:rFonts w:cs="Shruti"/>
          <w:b/>
          <w:bCs/>
          <w:sz w:val="20"/>
          <w:szCs w:val="20"/>
        </w:rPr>
      </w:pPr>
      <w:r>
        <w:rPr>
          <w:rFonts w:cs="Shruti"/>
          <w:b/>
          <w:bCs/>
          <w:sz w:val="20"/>
          <w:szCs w:val="20"/>
        </w:rPr>
        <w:t>(530) 842-8805</w:t>
      </w:r>
      <w:r w:rsidR="00242222">
        <w:rPr>
          <w:rFonts w:cs="Shruti"/>
          <w:b/>
          <w:bCs/>
          <w:sz w:val="20"/>
          <w:szCs w:val="20"/>
        </w:rPr>
        <w:t xml:space="preserve">  </w:t>
      </w:r>
      <w:r w:rsidR="009B0F6F">
        <w:rPr>
          <w:rFonts w:cs="Shruti"/>
          <w:b/>
          <w:bCs/>
          <w:sz w:val="20"/>
          <w:szCs w:val="20"/>
        </w:rPr>
        <w:t>FAX: (530) 842-7001</w:t>
      </w:r>
    </w:p>
    <w:p w:rsidR="00556437" w:rsidRDefault="001160F9" w:rsidP="00556437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margin">
                  <wp:posOffset>1145540</wp:posOffset>
                </wp:positionH>
                <wp:positionV relativeFrom="margin">
                  <wp:posOffset>949325</wp:posOffset>
                </wp:positionV>
                <wp:extent cx="4711065" cy="850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06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F6F" w:rsidRDefault="001160F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4714875" cy="857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1487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0.2pt;margin-top:74.75pt;width:370.95pt;height:6.7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" o:allowincell="f" filled="f" stroked="f" strokeweight="0">
                <v:textbox inset="0,0,0,0">
                  <w:txbxContent>
                    <w:p w:rsidR="009B0F6F" w:rsidRDefault="001160F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4714875" cy="857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1487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9B0F6F" w:rsidRDefault="00442A31" w:rsidP="00556437">
      <w:pPr>
        <w:pStyle w:val="Heading3"/>
      </w:pPr>
      <w:r>
        <w:t>MICHAEL PERRY</w:t>
      </w:r>
      <w:r w:rsidR="009B0F6F">
        <w:t xml:space="preserve">, </w:t>
      </w:r>
      <w:smartTag w:uri="urn:schemas-microsoft-com:office:smarttags" w:element="place">
        <w:smartTag w:uri="urn:schemas-microsoft-com:office:smarttags" w:element="PlaceType">
          <w:r w:rsidR="009B0F6F">
            <w:t>COUNTY</w:t>
          </w:r>
        </w:smartTag>
        <w:r w:rsidR="009B0F6F">
          <w:t xml:space="preserve"> </w:t>
        </w:r>
        <w:smartTag w:uri="urn:schemas-microsoft-com:office:smarttags" w:element="PlaceName">
          <w:r w:rsidR="009B0F6F">
            <w:t>LIBRARIAN</w:t>
          </w:r>
        </w:smartTag>
      </w:smartTag>
    </w:p>
    <w:p w:rsidR="002F0BA9" w:rsidRDefault="00442A31" w:rsidP="00556437">
      <w:pPr>
        <w:pStyle w:val="Heading3"/>
        <w:rPr>
          <w:szCs w:val="28"/>
        </w:rPr>
      </w:pPr>
      <w:r>
        <w:rPr>
          <w:rStyle w:val="Hypertext"/>
          <w:color w:val="auto"/>
          <w:szCs w:val="20"/>
          <w:u w:val="none"/>
        </w:rPr>
        <w:t>mperry</w:t>
      </w:r>
      <w:r w:rsidR="002F0BA9">
        <w:rPr>
          <w:rStyle w:val="Hypertext"/>
          <w:color w:val="auto"/>
          <w:szCs w:val="20"/>
          <w:u w:val="none"/>
        </w:rPr>
        <w:t>@co.siskiyou.ca.us</w:t>
      </w:r>
    </w:p>
    <w:p w:rsidR="009B0F6F" w:rsidRPr="001160F9" w:rsidRDefault="009B0F6F" w:rsidP="00556437">
      <w:pPr>
        <w:rPr>
          <w:sz w:val="24"/>
        </w:rPr>
      </w:pPr>
    </w:p>
    <w:p w:rsidR="007C65F8" w:rsidRPr="001160F9" w:rsidRDefault="007C65F8" w:rsidP="00556437">
      <w:pPr>
        <w:rPr>
          <w:sz w:val="24"/>
        </w:rPr>
      </w:pPr>
    </w:p>
    <w:p w:rsidR="001F7357" w:rsidRPr="001160F9" w:rsidRDefault="005315DF" w:rsidP="00556437">
      <w:pPr>
        <w:rPr>
          <w:sz w:val="24"/>
        </w:rPr>
      </w:pPr>
      <w:r>
        <w:rPr>
          <w:sz w:val="24"/>
        </w:rPr>
        <w:t xml:space="preserve">March </w:t>
      </w:r>
      <w:r w:rsidR="00935759">
        <w:rPr>
          <w:sz w:val="24"/>
        </w:rPr>
        <w:t>1</w:t>
      </w:r>
      <w:r w:rsidR="001D0C5A">
        <w:rPr>
          <w:sz w:val="24"/>
        </w:rPr>
        <w:t>6</w:t>
      </w:r>
      <w:r>
        <w:rPr>
          <w:sz w:val="24"/>
        </w:rPr>
        <w:t>, 2020</w:t>
      </w:r>
    </w:p>
    <w:p w:rsidR="007C65F8" w:rsidRPr="001160F9" w:rsidRDefault="007C65F8" w:rsidP="00556437">
      <w:pPr>
        <w:rPr>
          <w:sz w:val="24"/>
        </w:rPr>
      </w:pPr>
    </w:p>
    <w:p w:rsidR="007C65F8" w:rsidRPr="002E49F5" w:rsidRDefault="002E49F5" w:rsidP="00556437">
      <w:pPr>
        <w:rPr>
          <w:b/>
          <w:sz w:val="24"/>
        </w:rPr>
      </w:pPr>
      <w:r w:rsidRPr="002E49F5">
        <w:rPr>
          <w:b/>
          <w:sz w:val="24"/>
        </w:rPr>
        <w:t>Re:  Additional</w:t>
      </w:r>
      <w:r w:rsidR="00C86200">
        <w:rPr>
          <w:b/>
          <w:sz w:val="24"/>
        </w:rPr>
        <w:t xml:space="preserve"> expenses and</w:t>
      </w:r>
      <w:r w:rsidRPr="002E49F5">
        <w:rPr>
          <w:b/>
          <w:sz w:val="24"/>
        </w:rPr>
        <w:t xml:space="preserve"> reimbursement for Califa Broadband contract</w:t>
      </w:r>
      <w:r w:rsidR="000274CC">
        <w:rPr>
          <w:b/>
          <w:sz w:val="24"/>
        </w:rPr>
        <w:t xml:space="preserve"> in FY 19/20</w:t>
      </w:r>
    </w:p>
    <w:p w:rsidR="002E49F5" w:rsidRDefault="002E49F5" w:rsidP="00556437">
      <w:pPr>
        <w:rPr>
          <w:sz w:val="24"/>
        </w:rPr>
      </w:pPr>
    </w:p>
    <w:p w:rsidR="002E49F5" w:rsidRPr="000274CC" w:rsidRDefault="002E49F5" w:rsidP="00556437">
      <w:pPr>
        <w:rPr>
          <w:sz w:val="36"/>
          <w:u w:val="single"/>
        </w:rPr>
      </w:pPr>
      <w:r w:rsidRPr="000274CC">
        <w:rPr>
          <w:sz w:val="36"/>
          <w:u w:val="single"/>
        </w:rPr>
        <w:t>Summary</w:t>
      </w:r>
    </w:p>
    <w:p w:rsidR="001C0743" w:rsidRDefault="00982BA6" w:rsidP="001C0743">
      <w:pPr>
        <w:rPr>
          <w:sz w:val="24"/>
        </w:rPr>
      </w:pPr>
      <w:r>
        <w:rPr>
          <w:sz w:val="24"/>
        </w:rPr>
        <w:t xml:space="preserve">In </w:t>
      </w:r>
      <w:r w:rsidR="001C0743">
        <w:rPr>
          <w:sz w:val="24"/>
        </w:rPr>
        <w:t xml:space="preserve">our </w:t>
      </w:r>
      <w:r w:rsidR="00595DF0">
        <w:rPr>
          <w:sz w:val="24"/>
        </w:rPr>
        <w:t xml:space="preserve">current </w:t>
      </w:r>
      <w:r>
        <w:rPr>
          <w:sz w:val="24"/>
        </w:rPr>
        <w:t xml:space="preserve">Library Broadband </w:t>
      </w:r>
      <w:r w:rsidR="001C0743">
        <w:rPr>
          <w:sz w:val="24"/>
        </w:rPr>
        <w:t>contract</w:t>
      </w:r>
      <w:r w:rsidR="00595DF0">
        <w:rPr>
          <w:sz w:val="24"/>
        </w:rPr>
        <w:t>,</w:t>
      </w:r>
      <w:r w:rsidR="001C0743">
        <w:rPr>
          <w:sz w:val="24"/>
        </w:rPr>
        <w:t xml:space="preserve"> Cal-Ore planned to charge $1,250 per month per branch</w:t>
      </w:r>
      <w:r>
        <w:rPr>
          <w:sz w:val="24"/>
        </w:rPr>
        <w:t xml:space="preserve"> </w:t>
      </w:r>
      <w:r w:rsidR="00595DF0">
        <w:rPr>
          <w:sz w:val="24"/>
        </w:rPr>
        <w:t>to 9 of our library branches</w:t>
      </w:r>
      <w:r w:rsidR="001C0743">
        <w:rPr>
          <w:sz w:val="24"/>
        </w:rPr>
        <w:t xml:space="preserve">.  However, for the past three fiscal years (FY 16/17, FY 17/18 and FY 18/19), </w:t>
      </w:r>
      <w:r w:rsidR="00595DF0">
        <w:rPr>
          <w:sz w:val="24"/>
        </w:rPr>
        <w:t xml:space="preserve">Cal-Ore has </w:t>
      </w:r>
      <w:r w:rsidR="001C0743">
        <w:rPr>
          <w:sz w:val="24"/>
        </w:rPr>
        <w:t>only charged</w:t>
      </w:r>
      <w:r w:rsidR="000274CC">
        <w:rPr>
          <w:sz w:val="24"/>
        </w:rPr>
        <w:t xml:space="preserve"> $1,000 per branch per month (see Figure 1 for </w:t>
      </w:r>
      <w:r w:rsidR="00595DF0">
        <w:rPr>
          <w:sz w:val="24"/>
        </w:rPr>
        <w:t xml:space="preserve">a past invoice, highlighting the charge to </w:t>
      </w:r>
      <w:r w:rsidR="000274CC">
        <w:rPr>
          <w:sz w:val="24"/>
        </w:rPr>
        <w:t>one of our branches, Dorris).</w:t>
      </w:r>
    </w:p>
    <w:p w:rsidR="001C0743" w:rsidRDefault="001C0743" w:rsidP="00556437">
      <w:pPr>
        <w:rPr>
          <w:sz w:val="24"/>
        </w:rPr>
      </w:pPr>
      <w:bookmarkStart w:id="0" w:name="_GoBack"/>
      <w:bookmarkEnd w:id="0"/>
    </w:p>
    <w:p w:rsidR="000274CC" w:rsidRDefault="00595DF0" w:rsidP="001C0743">
      <w:pPr>
        <w:rPr>
          <w:sz w:val="24"/>
        </w:rPr>
      </w:pPr>
      <w:r>
        <w:rPr>
          <w:sz w:val="24"/>
        </w:rPr>
        <w:t>Starting i</w:t>
      </w:r>
      <w:r w:rsidR="001C0743">
        <w:rPr>
          <w:sz w:val="24"/>
        </w:rPr>
        <w:t xml:space="preserve">n FY 19/20, </w:t>
      </w:r>
      <w:r>
        <w:rPr>
          <w:sz w:val="24"/>
        </w:rPr>
        <w:t>Cal-Ore</w:t>
      </w:r>
      <w:r w:rsidR="001C0743">
        <w:rPr>
          <w:sz w:val="24"/>
        </w:rPr>
        <w:t xml:space="preserve"> began to include the taxes and surcharges </w:t>
      </w:r>
      <w:r w:rsidR="000274CC">
        <w:rPr>
          <w:sz w:val="24"/>
        </w:rPr>
        <w:t>in our costs</w:t>
      </w:r>
      <w:r w:rsidR="001C0743">
        <w:rPr>
          <w:sz w:val="24"/>
        </w:rPr>
        <w:t xml:space="preserve">, increasing </w:t>
      </w:r>
      <w:r w:rsidR="001B0A15">
        <w:rPr>
          <w:sz w:val="24"/>
        </w:rPr>
        <w:t xml:space="preserve">the </w:t>
      </w:r>
      <w:r w:rsidR="00982BA6">
        <w:rPr>
          <w:sz w:val="24"/>
        </w:rPr>
        <w:t xml:space="preserve">previous average </w:t>
      </w:r>
      <w:r w:rsidR="001B0A15">
        <w:rPr>
          <w:sz w:val="24"/>
        </w:rPr>
        <w:t xml:space="preserve">cost from $1,000 </w:t>
      </w:r>
      <w:r w:rsidR="000274CC">
        <w:rPr>
          <w:sz w:val="24"/>
        </w:rPr>
        <w:t xml:space="preserve">to </w:t>
      </w:r>
      <w:r w:rsidR="001C0743">
        <w:rPr>
          <w:sz w:val="24"/>
        </w:rPr>
        <w:t>$1,073</w:t>
      </w:r>
      <w:r w:rsidR="000274CC">
        <w:rPr>
          <w:sz w:val="24"/>
        </w:rPr>
        <w:t xml:space="preserve"> per branch per </w:t>
      </w:r>
      <w:r w:rsidR="001B0A15">
        <w:rPr>
          <w:sz w:val="24"/>
        </w:rPr>
        <w:t>month</w:t>
      </w:r>
      <w:r w:rsidR="000274CC">
        <w:rPr>
          <w:sz w:val="24"/>
        </w:rPr>
        <w:t xml:space="preserve"> (see Figure 2 for </w:t>
      </w:r>
      <w:r>
        <w:rPr>
          <w:sz w:val="24"/>
        </w:rPr>
        <w:t>the most recent invoice</w:t>
      </w:r>
      <w:r w:rsidR="000274CC">
        <w:rPr>
          <w:sz w:val="24"/>
        </w:rPr>
        <w:t xml:space="preserve"> of the charge at </w:t>
      </w:r>
      <w:r>
        <w:rPr>
          <w:sz w:val="24"/>
        </w:rPr>
        <w:t>the same branch</w:t>
      </w:r>
      <w:r w:rsidR="000274CC">
        <w:rPr>
          <w:sz w:val="24"/>
        </w:rPr>
        <w:t>, Dorris).</w:t>
      </w:r>
      <w:r w:rsidR="001B0A15">
        <w:rPr>
          <w:sz w:val="24"/>
        </w:rPr>
        <w:t xml:space="preserve">  </w:t>
      </w:r>
      <w:r w:rsidR="00982BA6">
        <w:rPr>
          <w:sz w:val="24"/>
        </w:rPr>
        <w:t>Note that t</w:t>
      </w:r>
      <w:r w:rsidR="001B0A15">
        <w:rPr>
          <w:sz w:val="24"/>
        </w:rPr>
        <w:t>his is still below the contracted price of $1,250 per branch per month.</w:t>
      </w:r>
    </w:p>
    <w:p w:rsidR="000274CC" w:rsidRDefault="000274CC" w:rsidP="001C0743">
      <w:pPr>
        <w:rPr>
          <w:sz w:val="24"/>
        </w:rPr>
      </w:pPr>
    </w:p>
    <w:p w:rsidR="001C0743" w:rsidRDefault="001C0743" w:rsidP="001C0743">
      <w:pPr>
        <w:rPr>
          <w:sz w:val="24"/>
        </w:rPr>
      </w:pPr>
      <w:r>
        <w:rPr>
          <w:sz w:val="24"/>
        </w:rPr>
        <w:t xml:space="preserve">To help offset the increase, Cal-Ore is </w:t>
      </w:r>
      <w:r w:rsidR="001B0A15">
        <w:rPr>
          <w:sz w:val="24"/>
        </w:rPr>
        <w:t xml:space="preserve">also </w:t>
      </w:r>
      <w:r>
        <w:rPr>
          <w:sz w:val="24"/>
        </w:rPr>
        <w:t>crediting the library w</w:t>
      </w:r>
      <w:r w:rsidR="000274CC">
        <w:rPr>
          <w:sz w:val="24"/>
        </w:rPr>
        <w:t>ith</w:t>
      </w:r>
      <w:r w:rsidR="00595DF0">
        <w:rPr>
          <w:sz w:val="24"/>
        </w:rPr>
        <w:t xml:space="preserve"> an estimate of the California Teleconnect Fund</w:t>
      </w:r>
      <w:r w:rsidR="00595DF0" w:rsidRPr="001B0A15">
        <w:rPr>
          <w:rStyle w:val="FootnoteReference"/>
          <w:sz w:val="24"/>
          <w:vertAlign w:val="superscript"/>
        </w:rPr>
        <w:footnoteReference w:id="1"/>
      </w:r>
      <w:r w:rsidR="00595DF0" w:rsidRPr="001B0A15">
        <w:rPr>
          <w:sz w:val="24"/>
          <w:vertAlign w:val="superscript"/>
        </w:rPr>
        <w:t xml:space="preserve"> </w:t>
      </w:r>
      <w:r w:rsidR="00595DF0">
        <w:rPr>
          <w:sz w:val="24"/>
        </w:rPr>
        <w:t xml:space="preserve">(CTF) </w:t>
      </w:r>
      <w:r>
        <w:rPr>
          <w:sz w:val="24"/>
        </w:rPr>
        <w:t xml:space="preserve">credits </w:t>
      </w:r>
      <w:r w:rsidR="00982BA6">
        <w:rPr>
          <w:sz w:val="24"/>
        </w:rPr>
        <w:t>we would receive and applying them in the current year (in</w:t>
      </w:r>
      <w:r>
        <w:rPr>
          <w:sz w:val="24"/>
        </w:rPr>
        <w:t>stead of processing</w:t>
      </w:r>
      <w:r w:rsidR="00982BA6">
        <w:rPr>
          <w:sz w:val="24"/>
        </w:rPr>
        <w:t xml:space="preserve"> them in the normal time frame </w:t>
      </w:r>
      <w:r>
        <w:rPr>
          <w:sz w:val="24"/>
        </w:rPr>
        <w:t xml:space="preserve">which </w:t>
      </w:r>
      <w:r w:rsidR="001B0A15">
        <w:rPr>
          <w:sz w:val="24"/>
        </w:rPr>
        <w:t xml:space="preserve">is usually </w:t>
      </w:r>
      <w:r>
        <w:rPr>
          <w:sz w:val="24"/>
        </w:rPr>
        <w:t>1</w:t>
      </w:r>
      <w:r w:rsidR="001B0A15">
        <w:rPr>
          <w:sz w:val="24"/>
        </w:rPr>
        <w:t>4</w:t>
      </w:r>
      <w:r>
        <w:rPr>
          <w:sz w:val="24"/>
        </w:rPr>
        <w:t xml:space="preserve"> months </w:t>
      </w:r>
      <w:r w:rsidR="000274CC">
        <w:rPr>
          <w:sz w:val="24"/>
        </w:rPr>
        <w:t xml:space="preserve">after </w:t>
      </w:r>
      <w:r w:rsidR="001B0A15">
        <w:rPr>
          <w:sz w:val="24"/>
        </w:rPr>
        <w:t>the end of the current fiscal year</w:t>
      </w:r>
      <w:r>
        <w:rPr>
          <w:sz w:val="24"/>
        </w:rPr>
        <w:t>).</w:t>
      </w:r>
      <w:r w:rsidR="00595DF0">
        <w:rPr>
          <w:sz w:val="24"/>
        </w:rPr>
        <w:t xml:space="preserve">  The credit is $140 per branch per month.</w:t>
      </w:r>
    </w:p>
    <w:p w:rsidR="00C86200" w:rsidRDefault="00C86200" w:rsidP="001C0743">
      <w:pPr>
        <w:rPr>
          <w:sz w:val="24"/>
        </w:rPr>
      </w:pPr>
    </w:p>
    <w:p w:rsidR="00C86200" w:rsidRDefault="00C86200" w:rsidP="00C86200">
      <w:pPr>
        <w:rPr>
          <w:sz w:val="24"/>
        </w:rPr>
      </w:pPr>
      <w:r>
        <w:rPr>
          <w:sz w:val="24"/>
        </w:rPr>
        <w:t>We are also anticipating an additional $</w:t>
      </w:r>
      <w:r w:rsidR="00982BA6">
        <w:rPr>
          <w:sz w:val="24"/>
        </w:rPr>
        <w:t>645</w:t>
      </w:r>
      <w:r>
        <w:rPr>
          <w:sz w:val="24"/>
        </w:rPr>
        <w:t xml:space="preserve"> in additional surcharges and fees with our AT&amp;T</w:t>
      </w:r>
      <w:r w:rsidR="001B0A15">
        <w:rPr>
          <w:sz w:val="24"/>
        </w:rPr>
        <w:t xml:space="preserve"> services for 2 of our branches, </w:t>
      </w:r>
      <w:r w:rsidR="00982BA6">
        <w:rPr>
          <w:sz w:val="24"/>
        </w:rPr>
        <w:t xml:space="preserve">as they increased </w:t>
      </w:r>
      <w:r w:rsidR="001B0A15">
        <w:rPr>
          <w:sz w:val="24"/>
        </w:rPr>
        <w:t xml:space="preserve">taxes and surcharges </w:t>
      </w:r>
      <w:r w:rsidR="00982BA6">
        <w:rPr>
          <w:sz w:val="24"/>
        </w:rPr>
        <w:t>starting</w:t>
      </w:r>
      <w:r w:rsidR="001B0A15">
        <w:rPr>
          <w:sz w:val="24"/>
        </w:rPr>
        <w:t xml:space="preserve"> in November 2019.</w:t>
      </w:r>
    </w:p>
    <w:p w:rsidR="001B0A15" w:rsidRDefault="001B0A15" w:rsidP="00C86200">
      <w:pPr>
        <w:rPr>
          <w:sz w:val="24"/>
        </w:rPr>
      </w:pPr>
    </w:p>
    <w:p w:rsidR="00C86200" w:rsidRDefault="00C86200" w:rsidP="001C0743">
      <w:pPr>
        <w:rPr>
          <w:sz w:val="24"/>
        </w:rPr>
      </w:pPr>
    </w:p>
    <w:p w:rsidR="00C86200" w:rsidRDefault="00C86200" w:rsidP="001C0743">
      <w:pPr>
        <w:rPr>
          <w:sz w:val="24"/>
        </w:rPr>
      </w:pPr>
    </w:p>
    <w:p w:rsidR="00C86200" w:rsidRDefault="00C86200">
      <w:pPr>
        <w:widowControl/>
        <w:autoSpaceDE/>
        <w:autoSpaceDN/>
        <w:adjustRightInd/>
        <w:rPr>
          <w:sz w:val="32"/>
          <w:u w:val="single"/>
        </w:rPr>
      </w:pPr>
      <w:r>
        <w:rPr>
          <w:sz w:val="32"/>
          <w:u w:val="single"/>
        </w:rPr>
        <w:br w:type="page"/>
      </w:r>
    </w:p>
    <w:p w:rsidR="002E49F5" w:rsidRPr="001B0A15" w:rsidRDefault="00C86200" w:rsidP="00556437">
      <w:pPr>
        <w:rPr>
          <w:sz w:val="36"/>
          <w:u w:val="single"/>
        </w:rPr>
      </w:pPr>
      <w:r w:rsidRPr="001B0A15">
        <w:rPr>
          <w:sz w:val="36"/>
          <w:u w:val="single"/>
        </w:rPr>
        <w:lastRenderedPageBreak/>
        <w:t>Calculation</w:t>
      </w:r>
    </w:p>
    <w:p w:rsidR="00462F5F" w:rsidRPr="00462F5F" w:rsidRDefault="00462F5F" w:rsidP="00556437">
      <w:pPr>
        <w:rPr>
          <w:b/>
          <w:sz w:val="28"/>
        </w:rPr>
      </w:pPr>
      <w:r w:rsidRPr="00462F5F">
        <w:rPr>
          <w:b/>
          <w:sz w:val="28"/>
        </w:rPr>
        <w:t xml:space="preserve">Cal-Ore </w:t>
      </w:r>
      <w:r w:rsidR="001B0A15">
        <w:rPr>
          <w:b/>
          <w:sz w:val="28"/>
        </w:rPr>
        <w:t>increased expenses</w:t>
      </w:r>
    </w:p>
    <w:p w:rsidR="00595DF0" w:rsidRDefault="00595DF0" w:rsidP="00556437">
      <w:pPr>
        <w:rPr>
          <w:sz w:val="24"/>
        </w:rPr>
      </w:pPr>
      <w:r>
        <w:rPr>
          <w:sz w:val="24"/>
        </w:rPr>
        <w:t xml:space="preserve">The </w:t>
      </w:r>
      <w:r w:rsidR="00982BA6">
        <w:rPr>
          <w:sz w:val="24"/>
        </w:rPr>
        <w:t>expenses for Cal-Ore service</w:t>
      </w:r>
      <w:r>
        <w:rPr>
          <w:sz w:val="24"/>
        </w:rPr>
        <w:t xml:space="preserve"> will increase </w:t>
      </w:r>
      <w:r w:rsidR="001B0A15">
        <w:rPr>
          <w:sz w:val="24"/>
        </w:rPr>
        <w:t>by</w:t>
      </w:r>
    </w:p>
    <w:p w:rsidR="00595DF0" w:rsidRDefault="00595DF0" w:rsidP="00556437">
      <w:pPr>
        <w:rPr>
          <w:sz w:val="24"/>
        </w:rPr>
      </w:pPr>
    </w:p>
    <w:p w:rsidR="00595DF0" w:rsidRDefault="00595DF0" w:rsidP="00556437">
      <w:pPr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9 branches x $73.04 per month x 12 months≈$7,888 for FY 19/20</m:t>
          </m:r>
        </m:oMath>
      </m:oMathPara>
    </w:p>
    <w:p w:rsidR="001B0A15" w:rsidRDefault="001B0A15" w:rsidP="00556437">
      <w:pPr>
        <w:rPr>
          <w:sz w:val="24"/>
        </w:rPr>
      </w:pPr>
    </w:p>
    <w:p w:rsidR="00462F5F" w:rsidRPr="001160F9" w:rsidRDefault="00462F5F" w:rsidP="00556437">
      <w:pPr>
        <w:rPr>
          <w:sz w:val="24"/>
        </w:rPr>
      </w:pPr>
    </w:p>
    <w:p w:rsidR="00462F5F" w:rsidRPr="00462F5F" w:rsidRDefault="00462F5F" w:rsidP="00556437">
      <w:pPr>
        <w:rPr>
          <w:b/>
          <w:sz w:val="28"/>
        </w:rPr>
      </w:pPr>
      <w:r w:rsidRPr="00462F5F">
        <w:rPr>
          <w:b/>
          <w:sz w:val="28"/>
        </w:rPr>
        <w:t>AT&amp;</w:t>
      </w:r>
      <w:r w:rsidR="001B0A15">
        <w:rPr>
          <w:b/>
          <w:sz w:val="28"/>
        </w:rPr>
        <w:t>T increased expenses</w:t>
      </w:r>
    </w:p>
    <w:p w:rsidR="00D26B35" w:rsidRDefault="00C86200" w:rsidP="00556437">
      <w:pPr>
        <w:rPr>
          <w:sz w:val="24"/>
        </w:rPr>
      </w:pPr>
      <w:r>
        <w:rPr>
          <w:sz w:val="24"/>
        </w:rPr>
        <w:t xml:space="preserve">AT&amp;T’s </w:t>
      </w:r>
      <w:r w:rsidR="00D26B35">
        <w:rPr>
          <w:sz w:val="24"/>
        </w:rPr>
        <w:t xml:space="preserve">monthly </w:t>
      </w:r>
      <w:r>
        <w:rPr>
          <w:sz w:val="24"/>
        </w:rPr>
        <w:t>surcharges increased</w:t>
      </w:r>
      <w:r w:rsidR="00D26B35">
        <w:rPr>
          <w:sz w:val="24"/>
        </w:rPr>
        <w:t xml:space="preserve"> for </w:t>
      </w:r>
      <w:r w:rsidR="001B0A15">
        <w:rPr>
          <w:sz w:val="24"/>
        </w:rPr>
        <w:t>2 branches:</w:t>
      </w:r>
    </w:p>
    <w:p w:rsidR="00CA3466" w:rsidRDefault="00CA3466" w:rsidP="00556437">
      <w:pPr>
        <w:rPr>
          <w:sz w:val="24"/>
        </w:rPr>
      </w:pPr>
    </w:p>
    <w:p w:rsidR="00D26B35" w:rsidRDefault="00D26B35" w:rsidP="00D26B35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Yreka </w:t>
      </w:r>
      <w:r w:rsidR="009C0302">
        <w:rPr>
          <w:sz w:val="24"/>
        </w:rPr>
        <w:tab/>
      </w:r>
      <w:r w:rsidR="009C0302">
        <w:rPr>
          <w:sz w:val="24"/>
        </w:rPr>
        <w:tab/>
      </w:r>
      <w:r w:rsidRPr="00D26B35">
        <w:rPr>
          <w:sz w:val="24"/>
        </w:rPr>
        <w:t xml:space="preserve">$59.31 </w:t>
      </w:r>
      <w:r w:rsidRPr="00D26B35">
        <w:rPr>
          <w:sz w:val="24"/>
        </w:rPr>
        <w:sym w:font="Wingdings" w:char="F0E0"/>
      </w:r>
      <w:r w:rsidRPr="00D26B35">
        <w:rPr>
          <w:sz w:val="24"/>
        </w:rPr>
        <w:t xml:space="preserve"> $84.65</w:t>
      </w:r>
      <w:r w:rsidR="004B7052">
        <w:rPr>
          <w:sz w:val="24"/>
        </w:rPr>
        <w:t xml:space="preserve"> per circuit</w:t>
      </w:r>
      <w:r w:rsidR="00CA3466">
        <w:rPr>
          <w:sz w:val="24"/>
        </w:rPr>
        <w:t xml:space="preserve"> (see Figures 3 and Figures 4)</w:t>
      </w:r>
    </w:p>
    <w:p w:rsidR="00D26B35" w:rsidRPr="00D26B35" w:rsidRDefault="00D26B35" w:rsidP="00D26B35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Montague</w:t>
      </w:r>
      <w:r w:rsidR="009C0302">
        <w:rPr>
          <w:sz w:val="24"/>
        </w:rPr>
        <w:tab/>
      </w:r>
      <w:r>
        <w:rPr>
          <w:sz w:val="24"/>
        </w:rPr>
        <w:t xml:space="preserve">$35.17 </w:t>
      </w:r>
      <w:r w:rsidRPr="00D26B35">
        <w:rPr>
          <w:sz w:val="24"/>
        </w:rPr>
        <w:sym w:font="Wingdings" w:char="F0E0"/>
      </w:r>
      <w:r>
        <w:rPr>
          <w:sz w:val="24"/>
        </w:rPr>
        <w:t xml:space="preserve"> $50.20</w:t>
      </w:r>
      <w:r w:rsidR="004B7052">
        <w:rPr>
          <w:sz w:val="24"/>
        </w:rPr>
        <w:t xml:space="preserve"> per circuit</w:t>
      </w:r>
      <w:r w:rsidR="00CA3466">
        <w:rPr>
          <w:sz w:val="24"/>
        </w:rPr>
        <w:t xml:space="preserve"> (see Figures 5 and Figures 6)</w:t>
      </w:r>
    </w:p>
    <w:p w:rsidR="00D26B35" w:rsidRDefault="00D26B35" w:rsidP="00556437">
      <w:pPr>
        <w:rPr>
          <w:sz w:val="24"/>
        </w:rPr>
      </w:pPr>
    </w:p>
    <w:p w:rsidR="00442A31" w:rsidRDefault="00817C29" w:rsidP="00556437">
      <w:pPr>
        <w:rPr>
          <w:sz w:val="24"/>
        </w:rPr>
      </w:pPr>
      <w:r>
        <w:rPr>
          <w:sz w:val="24"/>
        </w:rPr>
        <w:t>W</w:t>
      </w:r>
      <w:r w:rsidR="00D26B35">
        <w:rPr>
          <w:sz w:val="24"/>
        </w:rPr>
        <w:t>e are budgeting these new monthly charges through the end of the fiscal.</w:t>
      </w:r>
    </w:p>
    <w:p w:rsidR="00935759" w:rsidRDefault="00935759" w:rsidP="00935759">
      <w:pPr>
        <w:jc w:val="center"/>
        <w:rPr>
          <w:sz w:val="24"/>
        </w:rPr>
      </w:pPr>
    </w:p>
    <w:p w:rsidR="00935759" w:rsidRDefault="00935759" w:rsidP="00817C29">
      <w:pPr>
        <w:jc w:val="center"/>
        <w:rPr>
          <w:sz w:val="24"/>
        </w:rPr>
      </w:pPr>
      <w:r>
        <w:rPr>
          <w:sz w:val="24"/>
        </w:rPr>
        <w:t>For Yreka</w:t>
      </w:r>
    </w:p>
    <w:p w:rsidR="00935759" w:rsidRPr="00817C29" w:rsidRDefault="00935759" w:rsidP="00556437">
      <w:pPr>
        <w:rPr>
          <w:sz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</w:rPr>
            <m:t>2 circuits x $25.34 per month x 8 months ≈$405</m:t>
          </m:r>
        </m:oMath>
      </m:oMathPara>
    </w:p>
    <w:p w:rsidR="00935759" w:rsidRDefault="00935759" w:rsidP="00556437">
      <w:pPr>
        <w:rPr>
          <w:sz w:val="24"/>
        </w:rPr>
      </w:pPr>
    </w:p>
    <w:p w:rsidR="00935759" w:rsidRDefault="00935759" w:rsidP="00935759">
      <w:pPr>
        <w:jc w:val="center"/>
        <w:rPr>
          <w:sz w:val="24"/>
        </w:rPr>
      </w:pPr>
      <w:r>
        <w:rPr>
          <w:sz w:val="24"/>
        </w:rPr>
        <w:t>For Montague</w:t>
      </w:r>
    </w:p>
    <w:p w:rsidR="00935759" w:rsidRDefault="00935759" w:rsidP="00935759">
      <w:pPr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2 circuits x $15.03 per month x 8 months ≈$240</m:t>
          </m:r>
        </m:oMath>
      </m:oMathPara>
    </w:p>
    <w:p w:rsidR="00935759" w:rsidRDefault="00935759" w:rsidP="00556437">
      <w:pPr>
        <w:rPr>
          <w:sz w:val="24"/>
        </w:rPr>
      </w:pPr>
    </w:p>
    <w:p w:rsidR="00935759" w:rsidRDefault="00935759" w:rsidP="00556437">
      <w:pPr>
        <w:rPr>
          <w:sz w:val="24"/>
        </w:rPr>
      </w:pPr>
    </w:p>
    <w:p w:rsidR="00935759" w:rsidRPr="00324BB3" w:rsidRDefault="009C0302" w:rsidP="00556437">
      <w:pPr>
        <w:rPr>
          <w:sz w:val="24"/>
        </w:rPr>
      </w:pPr>
      <w:r>
        <w:rPr>
          <w:sz w:val="24"/>
        </w:rPr>
        <w:t>W</w:t>
      </w:r>
      <w:r w:rsidR="00935759">
        <w:rPr>
          <w:sz w:val="24"/>
        </w:rPr>
        <w:t xml:space="preserve">e anticipate an additional cost </w:t>
      </w:r>
      <w:r w:rsidR="00982BA6">
        <w:rPr>
          <w:sz w:val="24"/>
        </w:rPr>
        <w:t>for AT&amp;T service to be</w:t>
      </w:r>
      <w:r w:rsidR="00091C4A"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$405+$240≈$645.</m:t>
        </m:r>
      </m:oMath>
    </w:p>
    <w:p w:rsidR="00324BB3" w:rsidRDefault="00324BB3" w:rsidP="00556437">
      <w:pPr>
        <w:rPr>
          <w:sz w:val="24"/>
        </w:rPr>
      </w:pPr>
    </w:p>
    <w:p w:rsidR="00817C29" w:rsidRDefault="00817C29" w:rsidP="00556437">
      <w:pPr>
        <w:rPr>
          <w:sz w:val="24"/>
        </w:rPr>
      </w:pPr>
    </w:p>
    <w:p w:rsidR="00817C29" w:rsidRPr="00817C29" w:rsidRDefault="00817C29" w:rsidP="00556437">
      <w:pPr>
        <w:rPr>
          <w:b/>
          <w:sz w:val="28"/>
        </w:rPr>
      </w:pPr>
      <w:r w:rsidRPr="00817C29">
        <w:rPr>
          <w:b/>
          <w:sz w:val="28"/>
        </w:rPr>
        <w:t>Overall Increased expenses</w:t>
      </w:r>
      <w:r w:rsidR="00091C4A">
        <w:rPr>
          <w:b/>
          <w:sz w:val="28"/>
        </w:rPr>
        <w:t xml:space="preserve"> (estimate)</w:t>
      </w:r>
    </w:p>
    <w:p w:rsidR="00817C29" w:rsidRDefault="00817C29" w:rsidP="00556437">
      <w:pPr>
        <w:rPr>
          <w:sz w:val="24"/>
        </w:rPr>
      </w:pPr>
    </w:p>
    <w:p w:rsidR="00817C29" w:rsidRDefault="00817C29" w:rsidP="00556437">
      <w:pPr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$7,888+$645≈$8,533</m:t>
          </m:r>
        </m:oMath>
      </m:oMathPara>
    </w:p>
    <w:p w:rsidR="00817C29" w:rsidRDefault="00817C29" w:rsidP="00556437">
      <w:pPr>
        <w:rPr>
          <w:sz w:val="24"/>
        </w:rPr>
      </w:pPr>
    </w:p>
    <w:p w:rsidR="00091C4A" w:rsidRDefault="00091C4A" w:rsidP="00556437">
      <w:pPr>
        <w:rPr>
          <w:sz w:val="24"/>
        </w:rPr>
      </w:pPr>
      <w:r>
        <w:rPr>
          <w:sz w:val="24"/>
        </w:rPr>
        <w:t xml:space="preserve">To safeguard against slight variations for the rest of the year, we will assume the overall expense </w:t>
      </w:r>
      <w:r w:rsidRPr="00091C4A">
        <w:rPr>
          <w:b/>
          <w:sz w:val="24"/>
        </w:rPr>
        <w:t>will increase by $9,000 for the rest of the fiscal year</w:t>
      </w:r>
      <w:r>
        <w:rPr>
          <w:sz w:val="24"/>
        </w:rPr>
        <w:t>.</w:t>
      </w:r>
    </w:p>
    <w:p w:rsidR="00817C29" w:rsidRDefault="00817C29" w:rsidP="00556437">
      <w:pPr>
        <w:rPr>
          <w:sz w:val="24"/>
        </w:rPr>
      </w:pPr>
    </w:p>
    <w:p w:rsidR="00091C4A" w:rsidRDefault="00091C4A" w:rsidP="00556437">
      <w:pPr>
        <w:rPr>
          <w:sz w:val="24"/>
        </w:rPr>
      </w:pPr>
    </w:p>
    <w:p w:rsidR="00091C4A" w:rsidRDefault="00091C4A" w:rsidP="00556437">
      <w:pPr>
        <w:rPr>
          <w:sz w:val="24"/>
        </w:rPr>
      </w:pPr>
    </w:p>
    <w:p w:rsidR="00817C29" w:rsidRPr="00462F5F" w:rsidRDefault="00817C29" w:rsidP="00817C29">
      <w:pPr>
        <w:rPr>
          <w:b/>
          <w:sz w:val="28"/>
        </w:rPr>
      </w:pPr>
      <w:r w:rsidRPr="00462F5F">
        <w:rPr>
          <w:b/>
          <w:sz w:val="28"/>
        </w:rPr>
        <w:t xml:space="preserve">Cal-Ore </w:t>
      </w:r>
      <w:r>
        <w:rPr>
          <w:b/>
          <w:sz w:val="28"/>
        </w:rPr>
        <w:t>increased credits</w:t>
      </w:r>
    </w:p>
    <w:p w:rsidR="00817C29" w:rsidRDefault="00817C29" w:rsidP="00817C29">
      <w:pPr>
        <w:rPr>
          <w:sz w:val="24"/>
        </w:rPr>
      </w:pPr>
      <w:r>
        <w:rPr>
          <w:sz w:val="24"/>
        </w:rPr>
        <w:t xml:space="preserve">We expect </w:t>
      </w:r>
      <w:r w:rsidR="00982BA6">
        <w:rPr>
          <w:sz w:val="24"/>
        </w:rPr>
        <w:t xml:space="preserve">E-rate </w:t>
      </w:r>
      <w:r>
        <w:rPr>
          <w:sz w:val="24"/>
        </w:rPr>
        <w:t>credits</w:t>
      </w:r>
      <w:r w:rsidR="00982BA6">
        <w:rPr>
          <w:sz w:val="24"/>
        </w:rPr>
        <w:t>,</w:t>
      </w:r>
      <w:r>
        <w:rPr>
          <w:sz w:val="24"/>
        </w:rPr>
        <w:t xml:space="preserve"> assign</w:t>
      </w:r>
      <w:r w:rsidR="00982BA6">
        <w:rPr>
          <w:sz w:val="24"/>
        </w:rPr>
        <w:t xml:space="preserve">ed </w:t>
      </w:r>
      <w:r>
        <w:rPr>
          <w:sz w:val="24"/>
        </w:rPr>
        <w:t xml:space="preserve">to our </w:t>
      </w:r>
      <w:r w:rsidR="00982BA6">
        <w:rPr>
          <w:sz w:val="24"/>
        </w:rPr>
        <w:t xml:space="preserve">712200 </w:t>
      </w:r>
      <w:r>
        <w:rPr>
          <w:sz w:val="24"/>
        </w:rPr>
        <w:t>E-rate accounting line item</w:t>
      </w:r>
      <w:r w:rsidR="00982BA6">
        <w:rPr>
          <w:sz w:val="24"/>
        </w:rPr>
        <w:t xml:space="preserve"> in the amount of</w:t>
      </w:r>
    </w:p>
    <w:p w:rsidR="00817C29" w:rsidRDefault="00817C29" w:rsidP="00817C29">
      <w:pPr>
        <w:rPr>
          <w:sz w:val="24"/>
        </w:rPr>
      </w:pPr>
    </w:p>
    <w:p w:rsidR="00817C29" w:rsidRPr="001160F9" w:rsidRDefault="00817C29" w:rsidP="00817C29">
      <w:pPr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9 branches x 140 per month x 9 months</m:t>
          </m:r>
          <m:r>
            <m:rPr>
              <m:sty m:val="bi"/>
            </m:rPr>
            <w:rPr>
              <w:rFonts w:ascii="Cambria Math" w:hAnsi="Cambria Math"/>
              <w:sz w:val="24"/>
            </w:rPr>
            <m:t>=$11,340 for FY 19/20</m:t>
          </m:r>
          <m:r>
            <w:rPr>
              <w:rFonts w:ascii="Cambria Math" w:hAnsi="Cambria Math"/>
              <w:sz w:val="24"/>
            </w:rPr>
            <m:t xml:space="preserve"> </m:t>
          </m:r>
        </m:oMath>
      </m:oMathPara>
    </w:p>
    <w:p w:rsidR="00817C29" w:rsidRDefault="00817C29" w:rsidP="00817C29">
      <w:pPr>
        <w:rPr>
          <w:sz w:val="24"/>
        </w:rPr>
      </w:pPr>
    </w:p>
    <w:p w:rsidR="00D90824" w:rsidRDefault="00D90824" w:rsidP="00817C29">
      <w:pPr>
        <w:rPr>
          <w:sz w:val="24"/>
        </w:rPr>
      </w:pPr>
    </w:p>
    <w:p w:rsidR="00324BB3" w:rsidRDefault="00D90824" w:rsidP="00D90824">
      <w:pPr>
        <w:rPr>
          <w:sz w:val="24"/>
        </w:rPr>
      </w:pPr>
      <w:r>
        <w:rPr>
          <w:sz w:val="24"/>
        </w:rPr>
        <w:t xml:space="preserve">We are only considering 9 months (July 2019 – March 2020) because the invoice </w:t>
      </w:r>
      <w:r w:rsidR="00FE1500">
        <w:rPr>
          <w:sz w:val="24"/>
        </w:rPr>
        <w:t>including</w:t>
      </w:r>
      <w:r>
        <w:rPr>
          <w:sz w:val="24"/>
        </w:rPr>
        <w:t xml:space="preserve"> the </w:t>
      </w:r>
      <w:r w:rsidR="00FE1500">
        <w:rPr>
          <w:sz w:val="24"/>
        </w:rPr>
        <w:t xml:space="preserve">E-rate </w:t>
      </w:r>
      <w:r>
        <w:rPr>
          <w:sz w:val="24"/>
        </w:rPr>
        <w:t>credits for Apr – June 2020 will arrive after the close of the FY 19/20 accrual period and will be applied to the next fiscal year (FY 20/21).</w:t>
      </w:r>
      <w:r w:rsidR="00324BB3">
        <w:rPr>
          <w:sz w:val="24"/>
        </w:rPr>
        <w:br w:type="page"/>
      </w:r>
    </w:p>
    <w:p w:rsidR="001B0A15" w:rsidRPr="00AC4625" w:rsidRDefault="001B0A15" w:rsidP="00556437">
      <w:pPr>
        <w:rPr>
          <w:sz w:val="36"/>
          <w:u w:val="single"/>
        </w:rPr>
      </w:pPr>
      <w:r w:rsidRPr="00AC4625">
        <w:rPr>
          <w:sz w:val="36"/>
          <w:u w:val="single"/>
        </w:rPr>
        <w:lastRenderedPageBreak/>
        <w:t>Adjusting for increased expenses</w:t>
      </w:r>
    </w:p>
    <w:p w:rsidR="001B0A15" w:rsidRDefault="00AC4625" w:rsidP="00556437">
      <w:pPr>
        <w:rPr>
          <w:sz w:val="24"/>
        </w:rPr>
      </w:pPr>
      <w:r>
        <w:rPr>
          <w:sz w:val="24"/>
        </w:rPr>
        <w:t>We won’</w:t>
      </w:r>
      <w:r w:rsidR="00982BA6">
        <w:rPr>
          <w:sz w:val="24"/>
        </w:rPr>
        <w:t>t have to revise</w:t>
      </w:r>
      <w:r>
        <w:rPr>
          <w:sz w:val="24"/>
        </w:rPr>
        <w:t xml:space="preserve"> the contract</w:t>
      </w:r>
      <w:r w:rsidR="00982BA6">
        <w:rPr>
          <w:sz w:val="24"/>
        </w:rPr>
        <w:t xml:space="preserve"> itself</w:t>
      </w:r>
      <w:r>
        <w:rPr>
          <w:sz w:val="24"/>
        </w:rPr>
        <w:t xml:space="preserve"> as </w:t>
      </w:r>
      <w:r w:rsidR="00982BA6">
        <w:rPr>
          <w:sz w:val="24"/>
        </w:rPr>
        <w:t xml:space="preserve">the current </w:t>
      </w:r>
      <w:r>
        <w:rPr>
          <w:sz w:val="24"/>
        </w:rPr>
        <w:t xml:space="preserve">encumbrance can absorb these increased </w:t>
      </w:r>
      <w:r w:rsidR="00091C4A">
        <w:rPr>
          <w:sz w:val="24"/>
        </w:rPr>
        <w:t>expenses</w:t>
      </w:r>
      <w:r>
        <w:rPr>
          <w:sz w:val="24"/>
        </w:rPr>
        <w:t xml:space="preserve"> (</w:t>
      </w:r>
      <w:r w:rsidR="00982BA6">
        <w:rPr>
          <w:sz w:val="24"/>
        </w:rPr>
        <w:t xml:space="preserve">as </w:t>
      </w:r>
      <w:r>
        <w:rPr>
          <w:sz w:val="24"/>
        </w:rPr>
        <w:t>one of our library branches included in the contract is not yet receiving services).</w:t>
      </w:r>
    </w:p>
    <w:p w:rsidR="00AC4625" w:rsidRDefault="00AC4625" w:rsidP="00556437">
      <w:pPr>
        <w:rPr>
          <w:sz w:val="24"/>
        </w:rPr>
      </w:pPr>
    </w:p>
    <w:p w:rsidR="00AC4625" w:rsidRDefault="00AC4625" w:rsidP="00556437">
      <w:pPr>
        <w:rPr>
          <w:sz w:val="24"/>
        </w:rPr>
      </w:pPr>
      <w:r>
        <w:rPr>
          <w:sz w:val="24"/>
        </w:rPr>
        <w:t>However, we will have to adjust the current allocation share between the General Fund and Boles Fund (Activity 174).</w:t>
      </w:r>
      <w:r w:rsidR="00982BA6">
        <w:rPr>
          <w:sz w:val="24"/>
        </w:rPr>
        <w:t xml:space="preserve">  The Boles Fund is absorbing the “deadweight” of the current contract.  All anticipated expenses are assigned to the General Fund.</w:t>
      </w:r>
    </w:p>
    <w:p w:rsidR="00AC4625" w:rsidRDefault="00AC4625" w:rsidP="00556437">
      <w:pPr>
        <w:rPr>
          <w:sz w:val="24"/>
        </w:rPr>
      </w:pPr>
    </w:p>
    <w:p w:rsidR="00AC4625" w:rsidRDefault="00AC4625" w:rsidP="00556437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070"/>
        <w:gridCol w:w="2880"/>
        <w:gridCol w:w="2160"/>
      </w:tblGrid>
      <w:tr w:rsidR="00AC4625" w:rsidTr="00982BA6">
        <w:tc>
          <w:tcPr>
            <w:tcW w:w="2065" w:type="dxa"/>
          </w:tcPr>
          <w:p w:rsidR="00AC4625" w:rsidRDefault="00AC4625" w:rsidP="00556437">
            <w:pPr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AC4625" w:rsidRPr="00AC4625" w:rsidRDefault="00AC4625" w:rsidP="00AC4625">
            <w:pPr>
              <w:jc w:val="right"/>
              <w:rPr>
                <w:sz w:val="28"/>
              </w:rPr>
            </w:pPr>
            <w:r w:rsidRPr="00AC4625">
              <w:rPr>
                <w:sz w:val="28"/>
              </w:rPr>
              <w:t>General Fund</w:t>
            </w:r>
          </w:p>
        </w:tc>
        <w:tc>
          <w:tcPr>
            <w:tcW w:w="2880" w:type="dxa"/>
            <w:vAlign w:val="center"/>
          </w:tcPr>
          <w:p w:rsidR="00AC4625" w:rsidRPr="00AC4625" w:rsidRDefault="00AC4625" w:rsidP="00AC4625">
            <w:pPr>
              <w:jc w:val="right"/>
              <w:rPr>
                <w:sz w:val="28"/>
              </w:rPr>
            </w:pPr>
            <w:r w:rsidRPr="00AC4625">
              <w:rPr>
                <w:sz w:val="28"/>
              </w:rPr>
              <w:t>Boles Fund (</w:t>
            </w:r>
            <w:proofErr w:type="spellStart"/>
            <w:r w:rsidRPr="00AC4625">
              <w:rPr>
                <w:sz w:val="28"/>
              </w:rPr>
              <w:t>Actv</w:t>
            </w:r>
            <w:proofErr w:type="spellEnd"/>
            <w:r w:rsidRPr="00AC4625">
              <w:rPr>
                <w:sz w:val="28"/>
              </w:rPr>
              <w:t xml:space="preserve"> 174)</w:t>
            </w:r>
          </w:p>
        </w:tc>
        <w:tc>
          <w:tcPr>
            <w:tcW w:w="2160" w:type="dxa"/>
            <w:vAlign w:val="center"/>
          </w:tcPr>
          <w:p w:rsidR="00AC4625" w:rsidRPr="00AC4625" w:rsidRDefault="00AC4625" w:rsidP="00AC4625">
            <w:pPr>
              <w:jc w:val="right"/>
              <w:rPr>
                <w:sz w:val="28"/>
              </w:rPr>
            </w:pPr>
            <w:r w:rsidRPr="00AC4625">
              <w:rPr>
                <w:sz w:val="28"/>
              </w:rPr>
              <w:t>Contract Value</w:t>
            </w:r>
          </w:p>
        </w:tc>
      </w:tr>
      <w:tr w:rsidR="00AC4625" w:rsidTr="00982BA6">
        <w:trPr>
          <w:trHeight w:val="530"/>
        </w:trPr>
        <w:tc>
          <w:tcPr>
            <w:tcW w:w="2065" w:type="dxa"/>
            <w:vAlign w:val="center"/>
          </w:tcPr>
          <w:p w:rsidR="00AC4625" w:rsidRPr="00AC4625" w:rsidRDefault="00AC4625" w:rsidP="00AC4625">
            <w:pPr>
              <w:rPr>
                <w:sz w:val="28"/>
              </w:rPr>
            </w:pPr>
            <w:r w:rsidRPr="00AC4625">
              <w:rPr>
                <w:sz w:val="28"/>
              </w:rPr>
              <w:t>Current Share</w:t>
            </w:r>
          </w:p>
        </w:tc>
        <w:tc>
          <w:tcPr>
            <w:tcW w:w="2070" w:type="dxa"/>
            <w:vAlign w:val="center"/>
          </w:tcPr>
          <w:p w:rsidR="00AC4625" w:rsidRDefault="00AC4625" w:rsidP="00AC4625">
            <w:pPr>
              <w:jc w:val="right"/>
              <w:rPr>
                <w:sz w:val="24"/>
              </w:rPr>
            </w:pPr>
            <w:r>
              <w:rPr>
                <w:sz w:val="24"/>
              </w:rPr>
              <w:t>$133,827</w:t>
            </w:r>
          </w:p>
        </w:tc>
        <w:tc>
          <w:tcPr>
            <w:tcW w:w="2880" w:type="dxa"/>
            <w:vAlign w:val="center"/>
          </w:tcPr>
          <w:p w:rsidR="00AC4625" w:rsidRDefault="00AC4625" w:rsidP="00AC4625">
            <w:pPr>
              <w:jc w:val="right"/>
              <w:rPr>
                <w:sz w:val="24"/>
              </w:rPr>
            </w:pPr>
            <w:r>
              <w:rPr>
                <w:sz w:val="24"/>
              </w:rPr>
              <w:t>$48,513</w:t>
            </w:r>
          </w:p>
        </w:tc>
        <w:tc>
          <w:tcPr>
            <w:tcW w:w="2160" w:type="dxa"/>
            <w:vAlign w:val="center"/>
          </w:tcPr>
          <w:p w:rsidR="00AC4625" w:rsidRDefault="00AC4625" w:rsidP="00AC4625">
            <w:pPr>
              <w:jc w:val="right"/>
              <w:rPr>
                <w:sz w:val="24"/>
              </w:rPr>
            </w:pPr>
            <w:r>
              <w:rPr>
                <w:sz w:val="24"/>
              </w:rPr>
              <w:t>$182,340</w:t>
            </w:r>
          </w:p>
        </w:tc>
      </w:tr>
      <w:tr w:rsidR="00AC4625" w:rsidTr="00982BA6">
        <w:trPr>
          <w:trHeight w:val="530"/>
        </w:trPr>
        <w:tc>
          <w:tcPr>
            <w:tcW w:w="2065" w:type="dxa"/>
            <w:vAlign w:val="center"/>
          </w:tcPr>
          <w:p w:rsidR="00AC4625" w:rsidRPr="00AC4625" w:rsidRDefault="00982BA6" w:rsidP="00AC4625">
            <w:pPr>
              <w:rPr>
                <w:sz w:val="28"/>
              </w:rPr>
            </w:pPr>
            <w:r>
              <w:rPr>
                <w:sz w:val="28"/>
              </w:rPr>
              <w:t>Proposed</w:t>
            </w:r>
            <w:r w:rsidR="00AC4625" w:rsidRPr="00AC4625">
              <w:rPr>
                <w:sz w:val="28"/>
              </w:rPr>
              <w:t xml:space="preserve"> Share</w:t>
            </w:r>
          </w:p>
        </w:tc>
        <w:tc>
          <w:tcPr>
            <w:tcW w:w="2070" w:type="dxa"/>
            <w:vAlign w:val="center"/>
          </w:tcPr>
          <w:p w:rsidR="00AC4625" w:rsidRDefault="00AC4625" w:rsidP="00091C4A">
            <w:pPr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091C4A">
              <w:rPr>
                <w:sz w:val="24"/>
              </w:rPr>
              <w:t>142,827</w:t>
            </w:r>
          </w:p>
        </w:tc>
        <w:tc>
          <w:tcPr>
            <w:tcW w:w="2880" w:type="dxa"/>
            <w:vAlign w:val="center"/>
          </w:tcPr>
          <w:p w:rsidR="00AC4625" w:rsidRDefault="00AC4625" w:rsidP="00091C4A">
            <w:pPr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091C4A">
              <w:rPr>
                <w:sz w:val="24"/>
              </w:rPr>
              <w:t>39,513</w:t>
            </w:r>
          </w:p>
        </w:tc>
        <w:tc>
          <w:tcPr>
            <w:tcW w:w="2160" w:type="dxa"/>
            <w:vAlign w:val="center"/>
          </w:tcPr>
          <w:p w:rsidR="00AC4625" w:rsidRDefault="00AC4625" w:rsidP="00AC4625">
            <w:pPr>
              <w:jc w:val="right"/>
              <w:rPr>
                <w:sz w:val="24"/>
              </w:rPr>
            </w:pPr>
            <w:r>
              <w:rPr>
                <w:sz w:val="24"/>
              </w:rPr>
              <w:t>$182,340</w:t>
            </w:r>
          </w:p>
        </w:tc>
      </w:tr>
    </w:tbl>
    <w:p w:rsidR="00AC4625" w:rsidRDefault="00AC4625" w:rsidP="00556437">
      <w:pPr>
        <w:rPr>
          <w:sz w:val="24"/>
        </w:rPr>
      </w:pPr>
    </w:p>
    <w:p w:rsidR="001B0A15" w:rsidRDefault="001B0A15" w:rsidP="00556437">
      <w:pPr>
        <w:rPr>
          <w:sz w:val="24"/>
        </w:rPr>
      </w:pPr>
    </w:p>
    <w:p w:rsidR="001B0A15" w:rsidRDefault="001B0A15" w:rsidP="00556437">
      <w:pPr>
        <w:rPr>
          <w:sz w:val="24"/>
        </w:rPr>
      </w:pPr>
    </w:p>
    <w:p w:rsidR="001B0A15" w:rsidRDefault="001B0A15" w:rsidP="00556437">
      <w:pPr>
        <w:rPr>
          <w:sz w:val="24"/>
        </w:rPr>
      </w:pPr>
    </w:p>
    <w:p w:rsidR="00324BB3" w:rsidRPr="00AC4625" w:rsidRDefault="00327AFB" w:rsidP="00556437">
      <w:pPr>
        <w:rPr>
          <w:sz w:val="36"/>
          <w:u w:val="single"/>
        </w:rPr>
      </w:pPr>
      <w:r w:rsidRPr="00AC4625">
        <w:rPr>
          <w:sz w:val="36"/>
          <w:u w:val="single"/>
        </w:rPr>
        <w:t>Budget Transfer Allocation</w:t>
      </w:r>
    </w:p>
    <w:p w:rsidR="00327AFB" w:rsidRDefault="00817C29" w:rsidP="00556437">
      <w:pPr>
        <w:rPr>
          <w:sz w:val="24"/>
        </w:rPr>
      </w:pPr>
      <w:r>
        <w:rPr>
          <w:sz w:val="24"/>
        </w:rPr>
        <w:t>The budget transfer re-allocates the unexpec</w:t>
      </w:r>
      <w:r w:rsidR="00982BA6">
        <w:rPr>
          <w:sz w:val="24"/>
        </w:rPr>
        <w:t>ted additional E-rate credits and</w:t>
      </w:r>
      <w:r>
        <w:rPr>
          <w:sz w:val="24"/>
        </w:rPr>
        <w:t xml:space="preserve"> re-distribute</w:t>
      </w:r>
      <w:r w:rsidR="00982BA6">
        <w:rPr>
          <w:sz w:val="24"/>
        </w:rPr>
        <w:t>s it to multiple line items, to offset other unanticipated library expenses.</w:t>
      </w:r>
    </w:p>
    <w:p w:rsidR="003F0FB1" w:rsidRDefault="003F0FB1" w:rsidP="00556437">
      <w:pPr>
        <w:rPr>
          <w:sz w:val="24"/>
        </w:rPr>
      </w:pPr>
    </w:p>
    <w:p w:rsidR="00817C29" w:rsidRDefault="00817C29" w:rsidP="00556437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440"/>
        <w:gridCol w:w="6475"/>
      </w:tblGrid>
      <w:tr w:rsidR="00817C29" w:rsidTr="003F0FB1">
        <w:tc>
          <w:tcPr>
            <w:tcW w:w="1435" w:type="dxa"/>
          </w:tcPr>
          <w:p w:rsidR="00817C29" w:rsidRPr="003F0FB1" w:rsidRDefault="003F0FB1" w:rsidP="003F0FB1">
            <w:pPr>
              <w:jc w:val="both"/>
              <w:rPr>
                <w:sz w:val="28"/>
              </w:rPr>
            </w:pPr>
            <w:r w:rsidRPr="003F0FB1">
              <w:rPr>
                <w:sz w:val="28"/>
              </w:rPr>
              <w:t xml:space="preserve">Expense </w:t>
            </w:r>
          </w:p>
        </w:tc>
        <w:tc>
          <w:tcPr>
            <w:tcW w:w="1440" w:type="dxa"/>
            <w:vAlign w:val="center"/>
          </w:tcPr>
          <w:p w:rsidR="00817C29" w:rsidRPr="003F0FB1" w:rsidRDefault="003F0FB1" w:rsidP="003F0FB1">
            <w:pPr>
              <w:jc w:val="right"/>
              <w:rPr>
                <w:sz w:val="28"/>
              </w:rPr>
            </w:pPr>
            <w:r w:rsidRPr="003F0FB1">
              <w:rPr>
                <w:sz w:val="28"/>
              </w:rPr>
              <w:t>Amount</w:t>
            </w:r>
          </w:p>
        </w:tc>
        <w:tc>
          <w:tcPr>
            <w:tcW w:w="6475" w:type="dxa"/>
            <w:vAlign w:val="center"/>
          </w:tcPr>
          <w:p w:rsidR="00817C29" w:rsidRPr="003F0FB1" w:rsidRDefault="003F0FB1" w:rsidP="003F0FB1">
            <w:pPr>
              <w:rPr>
                <w:sz w:val="28"/>
              </w:rPr>
            </w:pPr>
            <w:r w:rsidRPr="003F0FB1">
              <w:rPr>
                <w:sz w:val="28"/>
              </w:rPr>
              <w:t>Notes</w:t>
            </w:r>
          </w:p>
        </w:tc>
      </w:tr>
      <w:tr w:rsidR="00817C29" w:rsidTr="003F0FB1">
        <w:trPr>
          <w:trHeight w:val="557"/>
        </w:trPr>
        <w:tc>
          <w:tcPr>
            <w:tcW w:w="1435" w:type="dxa"/>
            <w:vAlign w:val="center"/>
          </w:tcPr>
          <w:p w:rsidR="00817C29" w:rsidRDefault="00817C29" w:rsidP="003F0FB1">
            <w:pPr>
              <w:jc w:val="both"/>
              <w:rPr>
                <w:sz w:val="24"/>
              </w:rPr>
            </w:pPr>
            <w:r>
              <w:rPr>
                <w:sz w:val="24"/>
              </w:rPr>
              <w:t>723000</w:t>
            </w:r>
          </w:p>
        </w:tc>
        <w:tc>
          <w:tcPr>
            <w:tcW w:w="1440" w:type="dxa"/>
            <w:vAlign w:val="center"/>
          </w:tcPr>
          <w:p w:rsidR="00817C29" w:rsidRDefault="00817C29" w:rsidP="003F0FB1">
            <w:pPr>
              <w:jc w:val="right"/>
              <w:rPr>
                <w:sz w:val="24"/>
              </w:rPr>
            </w:pPr>
            <w:r>
              <w:rPr>
                <w:sz w:val="24"/>
              </w:rPr>
              <w:t>$9</w:t>
            </w:r>
            <w:r w:rsidR="003F0FB1">
              <w:rPr>
                <w:sz w:val="24"/>
              </w:rPr>
              <w:t>,000</w:t>
            </w:r>
          </w:p>
        </w:tc>
        <w:tc>
          <w:tcPr>
            <w:tcW w:w="6475" w:type="dxa"/>
            <w:vAlign w:val="center"/>
          </w:tcPr>
          <w:p w:rsidR="00817C29" w:rsidRDefault="003F0FB1" w:rsidP="003F0FB1">
            <w:pPr>
              <w:rPr>
                <w:sz w:val="24"/>
              </w:rPr>
            </w:pPr>
            <w:r>
              <w:rPr>
                <w:sz w:val="24"/>
              </w:rPr>
              <w:t>Anticipated increase expenses for Broadband services</w:t>
            </w:r>
          </w:p>
        </w:tc>
      </w:tr>
      <w:tr w:rsidR="00817C29" w:rsidTr="003F0FB1">
        <w:trPr>
          <w:trHeight w:val="530"/>
        </w:trPr>
        <w:tc>
          <w:tcPr>
            <w:tcW w:w="1435" w:type="dxa"/>
            <w:vAlign w:val="center"/>
          </w:tcPr>
          <w:p w:rsidR="00817C29" w:rsidRDefault="00817C29" w:rsidP="003F0FB1">
            <w:pPr>
              <w:jc w:val="both"/>
              <w:rPr>
                <w:sz w:val="24"/>
              </w:rPr>
            </w:pPr>
            <w:r>
              <w:rPr>
                <w:sz w:val="24"/>
              </w:rPr>
              <w:t>718000</w:t>
            </w:r>
          </w:p>
        </w:tc>
        <w:tc>
          <w:tcPr>
            <w:tcW w:w="1440" w:type="dxa"/>
            <w:vAlign w:val="center"/>
          </w:tcPr>
          <w:p w:rsidR="00817C29" w:rsidRDefault="00817C29" w:rsidP="003F0FB1">
            <w:pPr>
              <w:jc w:val="right"/>
              <w:rPr>
                <w:sz w:val="24"/>
              </w:rPr>
            </w:pPr>
            <w:r>
              <w:rPr>
                <w:sz w:val="24"/>
              </w:rPr>
              <w:t>$2,100</w:t>
            </w:r>
          </w:p>
        </w:tc>
        <w:tc>
          <w:tcPr>
            <w:tcW w:w="6475" w:type="dxa"/>
            <w:vAlign w:val="center"/>
          </w:tcPr>
          <w:p w:rsidR="00817C29" w:rsidRDefault="003F0FB1" w:rsidP="003F0FB1">
            <w:pPr>
              <w:rPr>
                <w:sz w:val="24"/>
              </w:rPr>
            </w:pPr>
            <w:r>
              <w:rPr>
                <w:sz w:val="24"/>
              </w:rPr>
              <w:t>Unanticipated increased costs of tree removal</w:t>
            </w:r>
          </w:p>
        </w:tc>
      </w:tr>
      <w:tr w:rsidR="00817C29" w:rsidTr="003F0FB1">
        <w:trPr>
          <w:trHeight w:val="530"/>
        </w:trPr>
        <w:tc>
          <w:tcPr>
            <w:tcW w:w="1435" w:type="dxa"/>
            <w:vAlign w:val="center"/>
          </w:tcPr>
          <w:p w:rsidR="00817C29" w:rsidRDefault="00817C29" w:rsidP="003F0FB1">
            <w:pPr>
              <w:jc w:val="both"/>
              <w:rPr>
                <w:sz w:val="24"/>
              </w:rPr>
            </w:pPr>
            <w:r>
              <w:rPr>
                <w:sz w:val="24"/>
              </w:rPr>
              <w:t>730000</w:t>
            </w:r>
          </w:p>
        </w:tc>
        <w:tc>
          <w:tcPr>
            <w:tcW w:w="1440" w:type="dxa"/>
            <w:vAlign w:val="center"/>
          </w:tcPr>
          <w:p w:rsidR="00817C29" w:rsidRDefault="003F0FB1" w:rsidP="008B7CD2">
            <w:pPr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8B7CD2">
              <w:rPr>
                <w:sz w:val="24"/>
              </w:rPr>
              <w:t>240</w:t>
            </w:r>
          </w:p>
        </w:tc>
        <w:tc>
          <w:tcPr>
            <w:tcW w:w="6475" w:type="dxa"/>
            <w:vAlign w:val="center"/>
          </w:tcPr>
          <w:p w:rsidR="00817C29" w:rsidRDefault="003F0FB1" w:rsidP="003F0FB1">
            <w:pPr>
              <w:rPr>
                <w:sz w:val="24"/>
              </w:rPr>
            </w:pPr>
            <w:r>
              <w:rPr>
                <w:sz w:val="24"/>
              </w:rPr>
              <w:t>Unanticipated increased energy expenses</w:t>
            </w:r>
          </w:p>
        </w:tc>
      </w:tr>
      <w:tr w:rsidR="00817C29" w:rsidTr="003F0FB1">
        <w:trPr>
          <w:trHeight w:val="395"/>
        </w:trPr>
        <w:tc>
          <w:tcPr>
            <w:tcW w:w="1435" w:type="dxa"/>
            <w:vAlign w:val="center"/>
          </w:tcPr>
          <w:p w:rsidR="00817C29" w:rsidRDefault="003F0FB1" w:rsidP="003F0FB1">
            <w:pPr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40" w:type="dxa"/>
            <w:vAlign w:val="center"/>
          </w:tcPr>
          <w:p w:rsidR="00817C29" w:rsidRDefault="003F0FB1" w:rsidP="008B7CD2">
            <w:pPr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8B7CD2">
              <w:rPr>
                <w:sz w:val="24"/>
              </w:rPr>
              <w:t>11,340</w:t>
            </w:r>
          </w:p>
        </w:tc>
        <w:tc>
          <w:tcPr>
            <w:tcW w:w="6475" w:type="dxa"/>
          </w:tcPr>
          <w:p w:rsidR="00817C29" w:rsidRDefault="00817C29" w:rsidP="00556437">
            <w:pPr>
              <w:rPr>
                <w:sz w:val="24"/>
              </w:rPr>
            </w:pPr>
          </w:p>
        </w:tc>
      </w:tr>
    </w:tbl>
    <w:p w:rsidR="00817C29" w:rsidRDefault="00817C29" w:rsidP="00556437">
      <w:pPr>
        <w:rPr>
          <w:sz w:val="24"/>
        </w:rPr>
      </w:pPr>
    </w:p>
    <w:p w:rsidR="00935759" w:rsidRDefault="00935759" w:rsidP="00556437">
      <w:pPr>
        <w:rPr>
          <w:sz w:val="24"/>
        </w:rPr>
      </w:pPr>
    </w:p>
    <w:p w:rsidR="00D54BF1" w:rsidRDefault="00D54BF1">
      <w:pPr>
        <w:widowControl/>
        <w:autoSpaceDE/>
        <w:autoSpaceDN/>
        <w:adjustRightInd/>
        <w:rPr>
          <w:sz w:val="24"/>
        </w:rPr>
      </w:pPr>
      <w:r>
        <w:rPr>
          <w:sz w:val="24"/>
        </w:rPr>
        <w:br w:type="page"/>
      </w:r>
    </w:p>
    <w:p w:rsidR="00CA3466" w:rsidRDefault="00CA3466" w:rsidP="00CA3466">
      <w:pPr>
        <w:pStyle w:val="Caption"/>
        <w:rPr>
          <w:sz w:val="24"/>
        </w:rPr>
      </w:pPr>
      <w:r>
        <w:lastRenderedPageBreak/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- Monthly cost for Cal-Ore service for FY 16/17, FY 17/18 and FY 18/19</w:t>
      </w:r>
    </w:p>
    <w:p w:rsidR="00D54BF1" w:rsidRDefault="00D54BF1" w:rsidP="00556437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838825" cy="7858125"/>
            <wp:effectExtent l="19050" t="19050" r="28575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l-Ore CENIC cost (Apr - Jun 2019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7858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54BF1" w:rsidRDefault="00D54BF1" w:rsidP="00556437">
      <w:pPr>
        <w:rPr>
          <w:sz w:val="24"/>
        </w:rPr>
      </w:pPr>
    </w:p>
    <w:p w:rsidR="00CA3466" w:rsidRDefault="00CA3466" w:rsidP="00CA3466">
      <w:pPr>
        <w:pStyle w:val="Caption"/>
        <w:rPr>
          <w:sz w:val="24"/>
        </w:rPr>
      </w:pPr>
      <w:r>
        <w:lastRenderedPageBreak/>
        <w:t xml:space="preserve">Figure </w:t>
      </w:r>
      <w:fldSimple w:instr=" SEQ Figure \* ARABIC ">
        <w:r>
          <w:rPr>
            <w:noProof/>
          </w:rPr>
          <w:t>2</w:t>
        </w:r>
      </w:fldSimple>
      <w:r>
        <w:t>- Monthly cost for Cal-Ore service beginning in FY 19/20</w:t>
      </w:r>
    </w:p>
    <w:p w:rsidR="000274CC" w:rsidRDefault="001C0743" w:rsidP="000274CC">
      <w:pPr>
        <w:keepNext/>
      </w:pPr>
      <w:r>
        <w:rPr>
          <w:noProof/>
          <w:sz w:val="24"/>
        </w:rPr>
        <w:drawing>
          <wp:inline distT="0" distB="0" distL="0" distR="0">
            <wp:extent cx="5943600" cy="7708900"/>
            <wp:effectExtent l="19050" t="19050" r="19050" b="254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l-Ore CENIC cost (Oct - Dec 2019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8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C0743" w:rsidRDefault="001C0743" w:rsidP="00556437">
      <w:pPr>
        <w:rPr>
          <w:sz w:val="24"/>
        </w:rPr>
      </w:pPr>
    </w:p>
    <w:p w:rsidR="001C0743" w:rsidRDefault="001C0743" w:rsidP="00556437">
      <w:pPr>
        <w:rPr>
          <w:sz w:val="24"/>
        </w:rPr>
      </w:pPr>
    </w:p>
    <w:p w:rsidR="00CA3466" w:rsidRDefault="00CA3466" w:rsidP="00CA3466">
      <w:pPr>
        <w:pStyle w:val="Caption"/>
        <w:rPr>
          <w:sz w:val="24"/>
        </w:rPr>
      </w:pPr>
      <w:r>
        <w:lastRenderedPageBreak/>
        <w:t xml:space="preserve">Figure </w:t>
      </w:r>
      <w:fldSimple w:instr=" SEQ Figure \* ARABIC ">
        <w:r>
          <w:rPr>
            <w:noProof/>
          </w:rPr>
          <w:t>3</w:t>
        </w:r>
      </w:fldSimple>
      <w:r>
        <w:t xml:space="preserve"> - Baseline AT&amp;T costs for Yreka for Jul/Aug/Sep 2019</w:t>
      </w:r>
    </w:p>
    <w:p w:rsidR="00CA2C71" w:rsidRDefault="00D26B35" w:rsidP="001C0743">
      <w:pPr>
        <w:widowControl/>
        <w:autoSpaceDE/>
        <w:autoSpaceDN/>
        <w:adjustRightInd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943600" cy="7670800"/>
            <wp:effectExtent l="19050" t="19050" r="19050" b="254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 CENIC cost baseline (Jul - Sep 2019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70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6B35" w:rsidRDefault="00D26B35" w:rsidP="001C0743">
      <w:pPr>
        <w:widowControl/>
        <w:autoSpaceDE/>
        <w:autoSpaceDN/>
        <w:adjustRightInd/>
        <w:rPr>
          <w:sz w:val="24"/>
        </w:rPr>
      </w:pPr>
    </w:p>
    <w:p w:rsidR="00D26B35" w:rsidRDefault="00D26B35" w:rsidP="001C0743">
      <w:pPr>
        <w:widowControl/>
        <w:autoSpaceDE/>
        <w:autoSpaceDN/>
        <w:adjustRightInd/>
        <w:rPr>
          <w:sz w:val="24"/>
        </w:rPr>
      </w:pPr>
    </w:p>
    <w:p w:rsidR="00CA3466" w:rsidRDefault="00CA3466" w:rsidP="00CA3466">
      <w:pPr>
        <w:pStyle w:val="Caption"/>
      </w:pPr>
      <w:r>
        <w:lastRenderedPageBreak/>
        <w:t xml:space="preserve">Figure </w:t>
      </w:r>
      <w:fldSimple w:instr=" SEQ Figure \* ARABIC ">
        <w:r>
          <w:rPr>
            <w:noProof/>
          </w:rPr>
          <w:t>4</w:t>
        </w:r>
      </w:fldSimple>
      <w:r>
        <w:t xml:space="preserve"> - New surcharges for AT&amp;T for Yreka beginning Nov 2019</w:t>
      </w:r>
    </w:p>
    <w:p w:rsidR="00D26B35" w:rsidRDefault="00D26B35" w:rsidP="001C0743">
      <w:pPr>
        <w:widowControl/>
        <w:autoSpaceDE/>
        <w:autoSpaceDN/>
        <w:adjustRightInd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943600" cy="7804785"/>
            <wp:effectExtent l="19050" t="19050" r="19050" b="247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 CENIC cost (Oct - Dec 2019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047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3466" w:rsidRDefault="00CA3466" w:rsidP="00CA3466"/>
    <w:p w:rsidR="00CA3466" w:rsidRDefault="00CA3466" w:rsidP="00CA3466">
      <w:pPr>
        <w:pStyle w:val="Caption"/>
      </w:pPr>
    </w:p>
    <w:p w:rsidR="00CA3466" w:rsidRDefault="00CA3466" w:rsidP="00CA3466">
      <w:pPr>
        <w:pStyle w:val="Caption"/>
      </w:pPr>
      <w:r>
        <w:lastRenderedPageBreak/>
        <w:t xml:space="preserve">Figure </w:t>
      </w:r>
      <w:fldSimple w:instr=" SEQ Figure \* ARABIC ">
        <w:r>
          <w:rPr>
            <w:noProof/>
          </w:rPr>
          <w:t>5</w:t>
        </w:r>
      </w:fldSimple>
      <w:r>
        <w:t xml:space="preserve"> - Baseline AT&amp;T costs for Montague for Jul/Aug/Sep 2019</w:t>
      </w:r>
    </w:p>
    <w:p w:rsidR="00D26B35" w:rsidRDefault="00C65440" w:rsidP="00D26B35">
      <w:r>
        <w:rPr>
          <w:noProof/>
        </w:rPr>
        <w:drawing>
          <wp:inline distT="0" distB="0" distL="0" distR="0">
            <wp:extent cx="5943600" cy="7700010"/>
            <wp:effectExtent l="19050" t="19050" r="19050" b="152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TT Montague CENIC cost baseline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00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6B35" w:rsidRDefault="00D26B35" w:rsidP="00D26B35"/>
    <w:p w:rsidR="00CA3466" w:rsidRDefault="00CA3466" w:rsidP="00D26B35"/>
    <w:p w:rsidR="00CA3466" w:rsidRDefault="00CA3466" w:rsidP="00CA3466">
      <w:pPr>
        <w:pStyle w:val="Caption"/>
      </w:pPr>
      <w:r>
        <w:lastRenderedPageBreak/>
        <w:t xml:space="preserve">Figure </w:t>
      </w:r>
      <w:fldSimple w:instr=" SEQ Figure \* ARABIC ">
        <w:r>
          <w:rPr>
            <w:noProof/>
          </w:rPr>
          <w:t>6</w:t>
        </w:r>
      </w:fldSimple>
      <w:r>
        <w:t xml:space="preserve"> - New surcharges for AT&amp;T for Montague beginning Nov 2019</w:t>
      </w:r>
    </w:p>
    <w:p w:rsidR="00D26B35" w:rsidRDefault="00D26B35" w:rsidP="00D26B35">
      <w:r>
        <w:rPr>
          <w:noProof/>
        </w:rPr>
        <w:drawing>
          <wp:inline distT="0" distB="0" distL="0" distR="0">
            <wp:extent cx="5943600" cy="7776845"/>
            <wp:effectExtent l="19050" t="19050" r="19050" b="146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TT Montague CENIC cost (Jul - Sep 2019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76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6B35" w:rsidRPr="00D26B35" w:rsidRDefault="00D26B35" w:rsidP="00D26B35"/>
    <w:sectPr w:rsidR="00D26B35" w:rsidRPr="00D26B35" w:rsidSect="009B0F6F"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DF0" w:rsidRDefault="00595DF0" w:rsidP="00595DF0">
      <w:r>
        <w:separator/>
      </w:r>
    </w:p>
  </w:endnote>
  <w:endnote w:type="continuationSeparator" w:id="0">
    <w:p w:rsidR="00595DF0" w:rsidRDefault="00595DF0" w:rsidP="0059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00500000000000000"/>
    <w:charset w:val="01"/>
    <w:family w:val="roman"/>
    <w:notTrueType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DF0" w:rsidRDefault="00595DF0" w:rsidP="00595DF0">
      <w:r>
        <w:separator/>
      </w:r>
    </w:p>
  </w:footnote>
  <w:footnote w:type="continuationSeparator" w:id="0">
    <w:p w:rsidR="00595DF0" w:rsidRDefault="00595DF0" w:rsidP="00595DF0">
      <w:r>
        <w:continuationSeparator/>
      </w:r>
    </w:p>
  </w:footnote>
  <w:footnote w:id="1">
    <w:p w:rsidR="00595DF0" w:rsidRDefault="00595DF0">
      <w:pPr>
        <w:pStyle w:val="FootnoteText"/>
      </w:pPr>
      <w:r>
        <w:rPr>
          <w:rStyle w:val="FootnoteReference"/>
        </w:rPr>
        <w:footnoteRef/>
      </w:r>
      <w:r>
        <w:t xml:space="preserve"> California Teleconnect Fund is the state equivalent of the Federal E-rate credits.  For the purposes of accounting, we capture both E-rate and CTF credits under the E-rate credit accounting line, 712200.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1C51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D879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6074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581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964C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68B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C4E1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82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6C6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0E1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AA691F"/>
    <w:multiLevelType w:val="hybridMultilevel"/>
    <w:tmpl w:val="3B80E8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71"/>
    <w:rsid w:val="000274CC"/>
    <w:rsid w:val="00091C4A"/>
    <w:rsid w:val="000F5B12"/>
    <w:rsid w:val="001160F9"/>
    <w:rsid w:val="00153B5E"/>
    <w:rsid w:val="00177721"/>
    <w:rsid w:val="00184504"/>
    <w:rsid w:val="001B0A15"/>
    <w:rsid w:val="001C0743"/>
    <w:rsid w:val="001D0C5A"/>
    <w:rsid w:val="001F7357"/>
    <w:rsid w:val="00242222"/>
    <w:rsid w:val="0028076F"/>
    <w:rsid w:val="002E49F5"/>
    <w:rsid w:val="002F0BA9"/>
    <w:rsid w:val="00304BC4"/>
    <w:rsid w:val="003249D2"/>
    <w:rsid w:val="00324BB3"/>
    <w:rsid w:val="00327AFB"/>
    <w:rsid w:val="00333D60"/>
    <w:rsid w:val="0035534B"/>
    <w:rsid w:val="00365A12"/>
    <w:rsid w:val="003F0FB1"/>
    <w:rsid w:val="00434B53"/>
    <w:rsid w:val="00442A31"/>
    <w:rsid w:val="00462F5F"/>
    <w:rsid w:val="004759B4"/>
    <w:rsid w:val="004B7052"/>
    <w:rsid w:val="004C50DF"/>
    <w:rsid w:val="004F1A37"/>
    <w:rsid w:val="00502FCF"/>
    <w:rsid w:val="005315DF"/>
    <w:rsid w:val="00531D7E"/>
    <w:rsid w:val="00556437"/>
    <w:rsid w:val="00595DF0"/>
    <w:rsid w:val="005F0039"/>
    <w:rsid w:val="006748B8"/>
    <w:rsid w:val="006C55E0"/>
    <w:rsid w:val="006E2368"/>
    <w:rsid w:val="007B524F"/>
    <w:rsid w:val="007C65F8"/>
    <w:rsid w:val="00817C29"/>
    <w:rsid w:val="008B7CD2"/>
    <w:rsid w:val="00923933"/>
    <w:rsid w:val="00935759"/>
    <w:rsid w:val="00982BA6"/>
    <w:rsid w:val="00994499"/>
    <w:rsid w:val="009B0F6F"/>
    <w:rsid w:val="009C0302"/>
    <w:rsid w:val="00A32ECF"/>
    <w:rsid w:val="00A47CEB"/>
    <w:rsid w:val="00AB439C"/>
    <w:rsid w:val="00AB46D3"/>
    <w:rsid w:val="00AC4625"/>
    <w:rsid w:val="00B43EEB"/>
    <w:rsid w:val="00C65440"/>
    <w:rsid w:val="00C86200"/>
    <w:rsid w:val="00C92C7E"/>
    <w:rsid w:val="00CA048A"/>
    <w:rsid w:val="00CA2C71"/>
    <w:rsid w:val="00CA3466"/>
    <w:rsid w:val="00D26B35"/>
    <w:rsid w:val="00D54BF1"/>
    <w:rsid w:val="00D90824"/>
    <w:rsid w:val="00E15420"/>
    <w:rsid w:val="00E15E31"/>
    <w:rsid w:val="00EE77EF"/>
    <w:rsid w:val="00F37C6D"/>
    <w:rsid w:val="00F471EA"/>
    <w:rsid w:val="00FB44E6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095A058"/>
  <w15:docId w15:val="{976C1357-1735-4AD4-A4ED-BC772C33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437"/>
    <w:pPr>
      <w:widowControl w:val="0"/>
      <w:autoSpaceDE w:val="0"/>
      <w:autoSpaceDN w:val="0"/>
      <w:adjustRightInd w:val="0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7721"/>
    <w:pPr>
      <w:keepNext/>
      <w:jc w:val="righ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177721"/>
    <w:pPr>
      <w:keepNext/>
      <w:jc w:val="righ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556437"/>
    <w:pPr>
      <w:keepNext/>
      <w:jc w:val="right"/>
      <w:outlineLvl w:val="2"/>
    </w:pPr>
    <w:rPr>
      <w:rFonts w:cs="Arial"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4759B4"/>
    <w:rPr>
      <w:color w:val="0000FF"/>
      <w:u w:val="single"/>
    </w:rPr>
  </w:style>
  <w:style w:type="paragraph" w:styleId="BalloonText">
    <w:name w:val="Balloon Text"/>
    <w:basedOn w:val="Normal"/>
    <w:semiHidden/>
    <w:rsid w:val="00502FC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C0743"/>
    <w:pPr>
      <w:spacing w:after="200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95DF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5D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5DF0"/>
  </w:style>
  <w:style w:type="paragraph" w:styleId="ListParagraph">
    <w:name w:val="List Paragraph"/>
    <w:basedOn w:val="Normal"/>
    <w:uiPriority w:val="34"/>
    <w:qFormat/>
    <w:rsid w:val="00D26B35"/>
    <w:pPr>
      <w:ind w:left="720"/>
      <w:contextualSpacing/>
    </w:pPr>
  </w:style>
  <w:style w:type="table" w:styleId="TableGrid">
    <w:name w:val="Table Grid"/>
    <w:basedOn w:val="TableNormal"/>
    <w:uiPriority w:val="59"/>
    <w:rsid w:val="00AC4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iskiyou%20County%20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DE169-DAF1-49AC-8CCC-15E4AFCE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Siskiyou County Letter Head.dotx</Template>
  <TotalTime>439</TotalTime>
  <Pages>9</Pages>
  <Words>677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SISKIYOU COUNTY LIBRARY</vt:lpstr>
    </vt:vector>
  </TitlesOfParts>
  <Company>Siskiyou County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SISKIYOU COUNTY LIBRARY</dc:title>
  <dc:creator>Michael Perry</dc:creator>
  <cp:lastModifiedBy>Michael Perry</cp:lastModifiedBy>
  <cp:revision>20</cp:revision>
  <cp:lastPrinted>2011-11-22T01:38:00Z</cp:lastPrinted>
  <dcterms:created xsi:type="dcterms:W3CDTF">2020-03-10T19:16:00Z</dcterms:created>
  <dcterms:modified xsi:type="dcterms:W3CDTF">2020-03-16T22:07:00Z</dcterms:modified>
</cp:coreProperties>
</file>