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b/>
                <w:sz w:val="20"/>
                <w:szCs w:val="20"/>
              </w:rPr>
            </w:r>
            <w:r w:rsidR="00C031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F214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F2149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0339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November 07</w:t>
            </w:r>
            <w:r w:rsidR="00CB43DE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bookmarkStart w:id="3" w:name="_GoBack"/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b/>
                <w:sz w:val="20"/>
                <w:szCs w:val="20"/>
              </w:rPr>
            </w:r>
            <w:r w:rsidR="00C031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9F2A17">
              <w:rPr>
                <w:rFonts w:asciiTheme="minorHAnsi" w:hAnsiTheme="minorHAnsi"/>
                <w:b/>
                <w:sz w:val="20"/>
                <w:szCs w:val="20"/>
              </w:rPr>
              <w:t>/Matt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7018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1805">
              <w:rPr>
                <w:rFonts w:asciiTheme="minorHAnsi" w:hAnsiTheme="minorHAnsi"/>
                <w:sz w:val="20"/>
                <w:szCs w:val="20"/>
              </w:rPr>
              <w:t>Resolution approving for the submittal of a grant under the</w:t>
            </w:r>
            <w:r w:rsidR="0010339D" w:rsidRPr="001033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1805" w:rsidRPr="00701805">
              <w:rPr>
                <w:rFonts w:asciiTheme="minorHAnsi" w:hAnsiTheme="minorHAnsi"/>
                <w:sz w:val="20"/>
                <w:szCs w:val="20"/>
              </w:rPr>
              <w:t>2017 Sustainable Groundwater Planning Grant Program pursuant to the Water Quality, Supply, and Infrastructure Improvement Act of 2014 (Proposition 1)</w:t>
            </w:r>
            <w:r w:rsidR="00701805">
              <w:rPr>
                <w:rFonts w:asciiTheme="minorHAnsi" w:hAnsiTheme="minorHAnsi"/>
                <w:sz w:val="20"/>
                <w:szCs w:val="20"/>
              </w:rPr>
              <w:t xml:space="preserve">. If awarded, grant funds would go towards supporting the activities and actions to develop Groundwater Sustainability Plans for three groundwater basins in Siskiyou County. </w:t>
            </w:r>
            <w:r w:rsidR="0010339D" w:rsidRPr="001033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sz w:val="18"/>
                <w:szCs w:val="18"/>
              </w:rPr>
            </w:r>
            <w:r w:rsidR="00C031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sz w:val="18"/>
                <w:szCs w:val="18"/>
              </w:rPr>
            </w:r>
            <w:r w:rsidR="00C031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sz w:val="18"/>
                <w:szCs w:val="18"/>
              </w:rPr>
            </w:r>
            <w:r w:rsidR="00C031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310E">
              <w:rPr>
                <w:rFonts w:asciiTheme="minorHAnsi" w:hAnsiTheme="minorHAnsi"/>
                <w:sz w:val="18"/>
                <w:szCs w:val="18"/>
              </w:rPr>
            </w:r>
            <w:r w:rsidR="00C031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7018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1805">
              <w:rPr>
                <w:rFonts w:asciiTheme="minorHAnsi" w:hAnsiTheme="minorHAnsi"/>
                <w:sz w:val="20"/>
                <w:szCs w:val="20"/>
              </w:rPr>
              <w:t>At this time no financial impacts are occuring, financial impacts would include accepting grant funding if awarded.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70180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0339D">
              <w:rPr>
                <w:rFonts w:asciiTheme="minorHAnsi" w:hAnsiTheme="minorHAnsi"/>
              </w:rPr>
              <w:t xml:space="preserve">Approve </w:t>
            </w:r>
            <w:r w:rsidR="00701805">
              <w:rPr>
                <w:rFonts w:asciiTheme="minorHAnsi" w:hAnsiTheme="minorHAnsi"/>
              </w:rPr>
              <w:t>Resolution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42A42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F2A17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3</cp:revision>
  <cp:lastPrinted>2017-08-22T20:53:00Z</cp:lastPrinted>
  <dcterms:created xsi:type="dcterms:W3CDTF">2017-10-27T20:57:00Z</dcterms:created>
  <dcterms:modified xsi:type="dcterms:W3CDTF">2017-10-27T21:01:00Z</dcterms:modified>
</cp:coreProperties>
</file>