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0DB" w:rsidRPr="008A14C7" w:rsidRDefault="00512553">
      <w:pPr>
        <w:rPr>
          <w:sz w:val="23"/>
          <w:szCs w:val="23"/>
        </w:rPr>
      </w:pPr>
      <w:r w:rsidRPr="008A14C7">
        <w:rPr>
          <w:sz w:val="23"/>
          <w:szCs w:val="23"/>
        </w:rPr>
        <w:t>Ju</w:t>
      </w:r>
      <w:r w:rsidR="00C276D5">
        <w:rPr>
          <w:sz w:val="23"/>
          <w:szCs w:val="23"/>
        </w:rPr>
        <w:t>ly 11, 2017</w:t>
      </w:r>
    </w:p>
    <w:p w:rsidR="00512553" w:rsidRPr="008A14C7" w:rsidRDefault="00C276D5" w:rsidP="00512553">
      <w:pPr>
        <w:spacing w:after="0"/>
        <w:rPr>
          <w:sz w:val="23"/>
          <w:szCs w:val="23"/>
        </w:rPr>
      </w:pPr>
      <w:r>
        <w:rPr>
          <w:sz w:val="23"/>
          <w:szCs w:val="23"/>
        </w:rPr>
        <w:t>Matthias St. John, Executive Director</w:t>
      </w:r>
    </w:p>
    <w:p w:rsidR="00C276D5" w:rsidRDefault="00C276D5" w:rsidP="00512553">
      <w:pPr>
        <w:spacing w:after="0"/>
        <w:rPr>
          <w:sz w:val="23"/>
          <w:szCs w:val="23"/>
        </w:rPr>
      </w:pPr>
      <w:r>
        <w:rPr>
          <w:sz w:val="23"/>
          <w:szCs w:val="23"/>
        </w:rPr>
        <w:t>North Coast Regional Water Quality Control Board</w:t>
      </w:r>
    </w:p>
    <w:p w:rsidR="00C276D5" w:rsidRDefault="00C276D5" w:rsidP="00512553">
      <w:pPr>
        <w:spacing w:after="0"/>
        <w:rPr>
          <w:sz w:val="23"/>
          <w:szCs w:val="23"/>
        </w:rPr>
      </w:pPr>
      <w:r>
        <w:rPr>
          <w:sz w:val="23"/>
          <w:szCs w:val="23"/>
        </w:rPr>
        <w:t xml:space="preserve">5550 </w:t>
      </w:r>
      <w:proofErr w:type="spellStart"/>
      <w:r>
        <w:rPr>
          <w:sz w:val="23"/>
          <w:szCs w:val="23"/>
        </w:rPr>
        <w:t>Skylane</w:t>
      </w:r>
      <w:proofErr w:type="spellEnd"/>
      <w:r>
        <w:rPr>
          <w:sz w:val="23"/>
          <w:szCs w:val="23"/>
        </w:rPr>
        <w:t xml:space="preserve"> Blvd., Suite A</w:t>
      </w:r>
    </w:p>
    <w:p w:rsidR="00512553" w:rsidRPr="008A14C7" w:rsidRDefault="00C276D5" w:rsidP="00512553">
      <w:pPr>
        <w:spacing w:after="0"/>
        <w:rPr>
          <w:sz w:val="23"/>
          <w:szCs w:val="23"/>
        </w:rPr>
      </w:pPr>
      <w:r>
        <w:rPr>
          <w:sz w:val="23"/>
          <w:szCs w:val="23"/>
        </w:rPr>
        <w:t>Santa Rosa, CA 95403</w:t>
      </w:r>
    </w:p>
    <w:p w:rsidR="00512553" w:rsidRPr="008A14C7" w:rsidRDefault="00512553" w:rsidP="000D6C5F">
      <w:pPr>
        <w:spacing w:after="0"/>
        <w:rPr>
          <w:sz w:val="23"/>
          <w:szCs w:val="23"/>
        </w:rPr>
      </w:pPr>
    </w:p>
    <w:p w:rsidR="00512553" w:rsidRPr="008A14C7" w:rsidRDefault="00512553" w:rsidP="00AE0DD4">
      <w:pPr>
        <w:rPr>
          <w:b/>
          <w:sz w:val="23"/>
          <w:szCs w:val="23"/>
        </w:rPr>
      </w:pPr>
      <w:r w:rsidRPr="008A14C7">
        <w:rPr>
          <w:b/>
          <w:sz w:val="23"/>
          <w:szCs w:val="23"/>
        </w:rPr>
        <w:t xml:space="preserve">Subject: Siskiyou County Comments – </w:t>
      </w:r>
      <w:r w:rsidR="00C276D5">
        <w:rPr>
          <w:b/>
          <w:sz w:val="23"/>
          <w:szCs w:val="23"/>
        </w:rPr>
        <w:t>Scott and Shasta Rivers Renewal of TMDL Conditional Waiver of Waste Discharge Requirements</w:t>
      </w:r>
    </w:p>
    <w:p w:rsidR="00512553" w:rsidRPr="008A14C7" w:rsidRDefault="00512553">
      <w:pPr>
        <w:rPr>
          <w:sz w:val="23"/>
          <w:szCs w:val="23"/>
        </w:rPr>
      </w:pPr>
      <w:r w:rsidRPr="008A14C7">
        <w:rPr>
          <w:sz w:val="23"/>
          <w:szCs w:val="23"/>
        </w:rPr>
        <w:t>Dear M</w:t>
      </w:r>
      <w:r w:rsidR="00C276D5">
        <w:rPr>
          <w:sz w:val="23"/>
          <w:szCs w:val="23"/>
        </w:rPr>
        <w:t>r. St. John</w:t>
      </w:r>
      <w:r w:rsidRPr="008A14C7">
        <w:rPr>
          <w:sz w:val="23"/>
          <w:szCs w:val="23"/>
        </w:rPr>
        <w:t>:</w:t>
      </w:r>
    </w:p>
    <w:p w:rsidR="00DC7B34" w:rsidRDefault="00512553">
      <w:pPr>
        <w:rPr>
          <w:sz w:val="23"/>
          <w:szCs w:val="23"/>
        </w:rPr>
      </w:pPr>
      <w:r w:rsidRPr="008A14C7">
        <w:rPr>
          <w:sz w:val="23"/>
          <w:szCs w:val="23"/>
        </w:rPr>
        <w:t>The Siskiyou County Board of Supervisors would like to provide the foll</w:t>
      </w:r>
      <w:r w:rsidR="00B06CB9" w:rsidRPr="008A14C7">
        <w:rPr>
          <w:sz w:val="23"/>
          <w:szCs w:val="23"/>
        </w:rPr>
        <w:t>owing comments on</w:t>
      </w:r>
      <w:r w:rsidRPr="008A14C7">
        <w:rPr>
          <w:sz w:val="23"/>
          <w:szCs w:val="23"/>
        </w:rPr>
        <w:t xml:space="preserve"> the </w:t>
      </w:r>
      <w:r w:rsidR="00C276D5">
        <w:rPr>
          <w:sz w:val="23"/>
          <w:szCs w:val="23"/>
        </w:rPr>
        <w:t>Total Maximum Daily Loads Conditional Waiver of Waste Discharge Requirements for the Shasta and Scott Rivers. We would also like to thank you for meeting with us in person to discuss the waivers, and for allowing us to submit this letter outside of the official comment period to accommodate our July 11</w:t>
      </w:r>
      <w:r w:rsidR="00C276D5" w:rsidRPr="000D6C5F">
        <w:rPr>
          <w:sz w:val="23"/>
          <w:szCs w:val="23"/>
          <w:vertAlign w:val="superscript"/>
        </w:rPr>
        <w:t>th</w:t>
      </w:r>
      <w:r w:rsidR="00C276D5">
        <w:rPr>
          <w:sz w:val="23"/>
          <w:szCs w:val="23"/>
        </w:rPr>
        <w:t xml:space="preserve"> Board meeting.</w:t>
      </w:r>
    </w:p>
    <w:p w:rsidR="00905C52" w:rsidRDefault="00DC7B34">
      <w:pPr>
        <w:rPr>
          <w:sz w:val="23"/>
          <w:szCs w:val="23"/>
        </w:rPr>
        <w:sectPr w:rsidR="00905C52">
          <w:headerReference w:type="default" r:id="rId7"/>
          <w:footerReference w:type="default" r:id="rId8"/>
          <w:pgSz w:w="12240" w:h="15840"/>
          <w:pgMar w:top="1440" w:right="1440" w:bottom="1440" w:left="1440" w:header="720" w:footer="720" w:gutter="0"/>
          <w:cols w:space="720"/>
          <w:docGrid w:linePitch="360"/>
        </w:sectPr>
      </w:pPr>
      <w:r>
        <w:rPr>
          <w:sz w:val="23"/>
          <w:szCs w:val="23"/>
        </w:rPr>
        <w:t xml:space="preserve">We understand that the continuance of this waiver process is not </w:t>
      </w:r>
      <w:r w:rsidR="001D74EB">
        <w:rPr>
          <w:sz w:val="23"/>
          <w:szCs w:val="23"/>
        </w:rPr>
        <w:t>guaranteed</w:t>
      </w:r>
      <w:r>
        <w:rPr>
          <w:sz w:val="23"/>
          <w:szCs w:val="23"/>
        </w:rPr>
        <w:t xml:space="preserve"> beyond the five year extension and that a more formal permitting process may be developed for the Shasta and Scott Rivers. We would like to encourage that the Water Board explore the option for continuing this waiver process as it has experienced success amongst irrigators in the Shasta and Scott Valley’s</w:t>
      </w:r>
      <w:r w:rsidR="00905C52">
        <w:rPr>
          <w:sz w:val="23"/>
          <w:szCs w:val="23"/>
        </w:rPr>
        <w:t>,</w:t>
      </w:r>
      <w:r>
        <w:rPr>
          <w:sz w:val="23"/>
          <w:szCs w:val="23"/>
        </w:rPr>
        <w:t xml:space="preserve"> and allows irrigators to </w:t>
      </w:r>
      <w:r w:rsidR="001D74EB">
        <w:rPr>
          <w:sz w:val="23"/>
          <w:szCs w:val="23"/>
        </w:rPr>
        <w:t xml:space="preserve">enter into a more voluntary and manageable process. We would like to see this type of interaction </w:t>
      </w:r>
      <w:r w:rsidR="00905C52">
        <w:rPr>
          <w:sz w:val="23"/>
          <w:szCs w:val="23"/>
        </w:rPr>
        <w:t xml:space="preserve">between the State and irrigators </w:t>
      </w:r>
      <w:r w:rsidR="001D74EB">
        <w:rPr>
          <w:sz w:val="23"/>
          <w:szCs w:val="23"/>
        </w:rPr>
        <w:t xml:space="preserve">continue, rather than a process which puts more regulatory burden on water users that are already under constant regulatory pressure. Irrigators throughout the Shasta and Scott Valley’s, and the County, have performed and completed projects that directly benefit </w:t>
      </w:r>
      <w:r w:rsidR="008A2945">
        <w:rPr>
          <w:sz w:val="23"/>
          <w:szCs w:val="23"/>
        </w:rPr>
        <w:t>water quantity and quality;</w:t>
      </w:r>
      <w:r w:rsidR="001D74EB">
        <w:rPr>
          <w:sz w:val="23"/>
          <w:szCs w:val="23"/>
        </w:rPr>
        <w:t xml:space="preserve"> most of these actions being performed</w:t>
      </w:r>
      <w:r w:rsidR="008A2945">
        <w:rPr>
          <w:sz w:val="23"/>
          <w:szCs w:val="23"/>
        </w:rPr>
        <w:t xml:space="preserve"> voluntarily by irrigators</w:t>
      </w:r>
      <w:r w:rsidR="001D74EB">
        <w:rPr>
          <w:sz w:val="23"/>
          <w:szCs w:val="23"/>
        </w:rPr>
        <w:t>.</w:t>
      </w:r>
      <w:r w:rsidR="009F1C1E">
        <w:rPr>
          <w:sz w:val="23"/>
          <w:szCs w:val="23"/>
        </w:rPr>
        <w:t xml:space="preserve"> A formal permitting process may not be applicable to the Shasta and Scott Rivers, as most of the activities outlined in the draft waiver are common practices, with known and manageable results. In addition, when developing these and similar programs in the future, the Water Board should be working closely with irrigators and landowners </w:t>
      </w:r>
      <w:r w:rsidR="00905C52">
        <w:rPr>
          <w:sz w:val="23"/>
          <w:szCs w:val="23"/>
        </w:rPr>
        <w:t>who have</w:t>
      </w:r>
      <w:r w:rsidR="009F1C1E">
        <w:rPr>
          <w:sz w:val="23"/>
          <w:szCs w:val="23"/>
        </w:rPr>
        <w:t xml:space="preserve"> </w:t>
      </w:r>
      <w:r w:rsidR="00905C52">
        <w:rPr>
          <w:sz w:val="23"/>
          <w:szCs w:val="23"/>
        </w:rPr>
        <w:t xml:space="preserve">the </w:t>
      </w:r>
      <w:r w:rsidR="009F1C1E">
        <w:rPr>
          <w:sz w:val="23"/>
          <w:szCs w:val="23"/>
        </w:rPr>
        <w:t>responsibility of participating or complying, rather than special interest groups who have no responsibility and are not directly impacted by the programs</w:t>
      </w:r>
      <w:r w:rsidR="00953A73">
        <w:rPr>
          <w:sz w:val="23"/>
          <w:szCs w:val="23"/>
        </w:rPr>
        <w:t>.</w:t>
      </w:r>
    </w:p>
    <w:p w:rsidR="008A2945" w:rsidRDefault="008A2945">
      <w:pPr>
        <w:rPr>
          <w:sz w:val="23"/>
          <w:szCs w:val="23"/>
        </w:rPr>
      </w:pPr>
      <w:r>
        <w:rPr>
          <w:sz w:val="23"/>
          <w:szCs w:val="23"/>
        </w:rPr>
        <w:lastRenderedPageBreak/>
        <w:t>As we expressed during o</w:t>
      </w:r>
      <w:r w:rsidR="000D6C5F">
        <w:rPr>
          <w:sz w:val="23"/>
          <w:szCs w:val="23"/>
        </w:rPr>
        <w:t>ur meeting with you,</w:t>
      </w:r>
      <w:r>
        <w:rPr>
          <w:sz w:val="23"/>
          <w:szCs w:val="23"/>
        </w:rPr>
        <w:t xml:space="preserve"> the County is hesitant about programs that are developed to handle legal and illegal cannabis cultivation separately </w:t>
      </w:r>
      <w:r w:rsidR="000D6C5F">
        <w:rPr>
          <w:sz w:val="23"/>
          <w:szCs w:val="23"/>
        </w:rPr>
        <w:t>from how traditional</w:t>
      </w:r>
      <w:r>
        <w:rPr>
          <w:sz w:val="23"/>
          <w:szCs w:val="23"/>
        </w:rPr>
        <w:t xml:space="preserve"> agricultural activities are mandated and regulated. This is concerning to the County, as our traditional agricultural irrigators constantly carry the responsibility for improving water quality and fish habitat in the Shasta and Scott River systems. Illegal cannabis grows located throughout the County are negatively impacting our surface and groundwater by using illegal pesticides and herbicides, and not properly handling or disposing of these chemicals. The State must </w:t>
      </w:r>
      <w:r w:rsidR="000D6C5F">
        <w:rPr>
          <w:sz w:val="23"/>
          <w:szCs w:val="23"/>
        </w:rPr>
        <w:t>use the same programs that govern traditional agricultural waste discharge activities on cannabis operations to either eliminate illegal actions, or ensure that legal ones comply with law and regulation. During the June 29</w:t>
      </w:r>
      <w:r w:rsidR="000D6C5F" w:rsidRPr="000D6C5F">
        <w:rPr>
          <w:sz w:val="23"/>
          <w:szCs w:val="23"/>
          <w:vertAlign w:val="superscript"/>
        </w:rPr>
        <w:t>th</w:t>
      </w:r>
      <w:r w:rsidR="000D6C5F">
        <w:rPr>
          <w:sz w:val="23"/>
          <w:szCs w:val="23"/>
        </w:rPr>
        <w:t xml:space="preserve"> Regional Water Board meeting that our Natural Resource Policy Specialist attended, several of the Water Board members stated that they would like to see the cannabis and agricultural programs combine</w:t>
      </w:r>
      <w:r w:rsidR="00905C52">
        <w:rPr>
          <w:sz w:val="23"/>
          <w:szCs w:val="23"/>
        </w:rPr>
        <w:t xml:space="preserve"> as well</w:t>
      </w:r>
      <w:r w:rsidR="000D6C5F">
        <w:rPr>
          <w:sz w:val="23"/>
          <w:szCs w:val="23"/>
        </w:rPr>
        <w:t xml:space="preserve"> so that they are all managed on an equal level.</w:t>
      </w:r>
      <w:r>
        <w:rPr>
          <w:sz w:val="23"/>
          <w:szCs w:val="23"/>
        </w:rPr>
        <w:t xml:space="preserve">  </w:t>
      </w:r>
    </w:p>
    <w:p w:rsidR="00512553" w:rsidRPr="008A14C7" w:rsidRDefault="00DC7B34">
      <w:pPr>
        <w:rPr>
          <w:sz w:val="23"/>
          <w:szCs w:val="23"/>
        </w:rPr>
      </w:pPr>
      <w:r>
        <w:rPr>
          <w:sz w:val="23"/>
          <w:szCs w:val="23"/>
        </w:rPr>
        <w:t xml:space="preserve">We would also like to reiterate a comment that was provided by the Livestock Advisor with the local UC Extension Office, advising the Water Board that total exclusion of riparian grazing is not completely beneficial to creek and river conditions. Instead, active management and rotational grazing are proactive options which allows for benefits </w:t>
      </w:r>
      <w:r w:rsidR="00905C52">
        <w:rPr>
          <w:sz w:val="23"/>
          <w:szCs w:val="23"/>
        </w:rPr>
        <w:t>such as</w:t>
      </w:r>
      <w:r>
        <w:rPr>
          <w:sz w:val="23"/>
          <w:szCs w:val="23"/>
        </w:rPr>
        <w:t xml:space="preserve"> invasive weed control. We would like to encourage the Water Board to work with the local UC Extension office on future activities related to grazing, </w:t>
      </w:r>
      <w:r w:rsidR="00905C52">
        <w:rPr>
          <w:sz w:val="23"/>
          <w:szCs w:val="23"/>
        </w:rPr>
        <w:t>and offer</w:t>
      </w:r>
      <w:r>
        <w:rPr>
          <w:sz w:val="23"/>
          <w:szCs w:val="23"/>
        </w:rPr>
        <w:t xml:space="preserve"> up that the County’s Range Advisory Board could be helpful</w:t>
      </w:r>
      <w:r w:rsidR="00905C52">
        <w:rPr>
          <w:sz w:val="23"/>
          <w:szCs w:val="23"/>
        </w:rPr>
        <w:t xml:space="preserve"> in these efforts as well</w:t>
      </w:r>
      <w:r>
        <w:rPr>
          <w:sz w:val="23"/>
          <w:szCs w:val="23"/>
        </w:rPr>
        <w:t>.</w:t>
      </w:r>
      <w:r w:rsidR="007A4938" w:rsidRPr="008A14C7">
        <w:rPr>
          <w:sz w:val="23"/>
          <w:szCs w:val="23"/>
        </w:rPr>
        <w:t xml:space="preserve"> </w:t>
      </w:r>
    </w:p>
    <w:p w:rsidR="00AE0DD4" w:rsidRPr="008A14C7" w:rsidRDefault="00AE0DD4">
      <w:pPr>
        <w:rPr>
          <w:sz w:val="23"/>
          <w:szCs w:val="23"/>
        </w:rPr>
      </w:pPr>
      <w:r w:rsidRPr="008A14C7">
        <w:rPr>
          <w:sz w:val="23"/>
          <w:szCs w:val="23"/>
        </w:rPr>
        <w:t xml:space="preserve">We appreciate the opportunity to comment on </w:t>
      </w:r>
      <w:r w:rsidR="00905C52">
        <w:rPr>
          <w:sz w:val="23"/>
          <w:szCs w:val="23"/>
        </w:rPr>
        <w:t>the draft waiver</w:t>
      </w:r>
      <w:r w:rsidRPr="008A14C7">
        <w:rPr>
          <w:sz w:val="23"/>
          <w:szCs w:val="23"/>
        </w:rPr>
        <w:t xml:space="preserve">, and look forward to the opportunity to stay involved throughout its implementation. If you have any questions, or would like to discuss this further, please feel free to contact Elizabeth Nielsen, Natural Resource Policy Specialist at </w:t>
      </w:r>
      <w:hyperlink r:id="rId9" w:history="1">
        <w:r w:rsidRPr="008A14C7">
          <w:rPr>
            <w:rStyle w:val="Hyperlink"/>
            <w:sz w:val="23"/>
            <w:szCs w:val="23"/>
          </w:rPr>
          <w:t>enielsen@co.siskiyou.ca.us</w:t>
        </w:r>
      </w:hyperlink>
      <w:r w:rsidRPr="008A14C7">
        <w:rPr>
          <w:sz w:val="23"/>
          <w:szCs w:val="23"/>
        </w:rPr>
        <w:t xml:space="preserve"> or (530) 842-8012.</w:t>
      </w:r>
    </w:p>
    <w:p w:rsidR="008A14C7" w:rsidRPr="008A14C7" w:rsidRDefault="008A14C7" w:rsidP="008A14C7">
      <w:pPr>
        <w:rPr>
          <w:rFonts w:cs="DokChampa"/>
          <w:sz w:val="23"/>
          <w:szCs w:val="23"/>
        </w:rPr>
      </w:pPr>
      <w:r w:rsidRPr="008A14C7">
        <w:rPr>
          <w:rFonts w:cs="DokChampa"/>
          <w:sz w:val="23"/>
          <w:szCs w:val="23"/>
        </w:rPr>
        <w:t xml:space="preserve">This letter was approved by the Siskiyou County Board of Supervisors on </w:t>
      </w:r>
      <w:r w:rsidR="006C5D4D">
        <w:rPr>
          <w:rFonts w:cs="DokChampa"/>
          <w:sz w:val="23"/>
          <w:szCs w:val="23"/>
        </w:rPr>
        <w:t>Ju</w:t>
      </w:r>
      <w:r w:rsidR="00905C52">
        <w:rPr>
          <w:rFonts w:cs="DokChampa"/>
          <w:sz w:val="23"/>
          <w:szCs w:val="23"/>
        </w:rPr>
        <w:t>ly 11</w:t>
      </w:r>
      <w:r w:rsidR="006C5D4D">
        <w:rPr>
          <w:rFonts w:cs="DokChampa"/>
          <w:sz w:val="23"/>
          <w:szCs w:val="23"/>
        </w:rPr>
        <w:t>, 2017</w:t>
      </w:r>
      <w:r w:rsidRPr="008A14C7">
        <w:rPr>
          <w:rFonts w:cs="DokChampa"/>
          <w:sz w:val="23"/>
          <w:szCs w:val="23"/>
        </w:rPr>
        <w:t>, by the following vote:</w:t>
      </w:r>
    </w:p>
    <w:p w:rsidR="008A14C7" w:rsidRPr="008A14C7" w:rsidRDefault="008A14C7" w:rsidP="008A14C7">
      <w:pPr>
        <w:rPr>
          <w:rFonts w:cs="DokChampa"/>
          <w:sz w:val="23"/>
          <w:szCs w:val="23"/>
        </w:rPr>
      </w:pPr>
      <w:r w:rsidRPr="008A14C7">
        <w:rPr>
          <w:rFonts w:cs="DokChampa"/>
          <w:sz w:val="23"/>
          <w:szCs w:val="23"/>
        </w:rPr>
        <w:t>AYES</w:t>
      </w:r>
      <w:proofErr w:type="gramStart"/>
      <w:r w:rsidRPr="008A14C7">
        <w:rPr>
          <w:rFonts w:cs="DokChampa"/>
          <w:sz w:val="23"/>
          <w:szCs w:val="23"/>
        </w:rPr>
        <w:t>:</w:t>
      </w:r>
      <w:proofErr w:type="gramEnd"/>
      <w:r w:rsidRPr="008A14C7">
        <w:rPr>
          <w:rFonts w:cs="DokChampa"/>
          <w:sz w:val="23"/>
          <w:szCs w:val="23"/>
        </w:rPr>
        <w:br/>
        <w:t>NOES:</w:t>
      </w:r>
      <w:r w:rsidRPr="008A14C7">
        <w:rPr>
          <w:rFonts w:cs="DokChampa"/>
          <w:sz w:val="23"/>
          <w:szCs w:val="23"/>
        </w:rPr>
        <w:br/>
        <w:t>ABSENT:</w:t>
      </w:r>
      <w:r w:rsidRPr="008A14C7">
        <w:rPr>
          <w:rFonts w:cs="DokChampa"/>
          <w:sz w:val="23"/>
          <w:szCs w:val="23"/>
        </w:rPr>
        <w:br/>
        <w:t>ABSTAIN:</w:t>
      </w:r>
    </w:p>
    <w:p w:rsidR="008A14C7" w:rsidRPr="008A14C7" w:rsidRDefault="008A14C7" w:rsidP="008A14C7">
      <w:pPr>
        <w:widowControl w:val="0"/>
        <w:autoSpaceDE w:val="0"/>
        <w:autoSpaceDN w:val="0"/>
        <w:adjustRightInd w:val="0"/>
        <w:spacing w:after="0"/>
        <w:jc w:val="both"/>
        <w:rPr>
          <w:rFonts w:eastAsia="Times New Roman" w:cs="Times New Roman"/>
          <w:sz w:val="23"/>
          <w:szCs w:val="23"/>
        </w:rPr>
      </w:pPr>
      <w:r w:rsidRPr="008A14C7">
        <w:rPr>
          <w:rFonts w:eastAsia="Times New Roman" w:cs="Times New Roman"/>
          <w:sz w:val="23"/>
          <w:szCs w:val="23"/>
        </w:rPr>
        <w:t>Sincerely,</w:t>
      </w:r>
    </w:p>
    <w:p w:rsidR="008A14C7" w:rsidRPr="008A14C7" w:rsidRDefault="008A14C7" w:rsidP="008A14C7">
      <w:pPr>
        <w:widowControl w:val="0"/>
        <w:autoSpaceDE w:val="0"/>
        <w:autoSpaceDN w:val="0"/>
        <w:adjustRightInd w:val="0"/>
        <w:spacing w:after="0"/>
        <w:ind w:firstLine="3780"/>
        <w:jc w:val="both"/>
        <w:rPr>
          <w:rFonts w:eastAsia="Times New Roman" w:cs="Times New Roman"/>
          <w:sz w:val="23"/>
          <w:szCs w:val="23"/>
        </w:rPr>
      </w:pPr>
    </w:p>
    <w:p w:rsidR="008A14C7" w:rsidRPr="008A14C7" w:rsidRDefault="008A14C7" w:rsidP="008A14C7">
      <w:pPr>
        <w:widowControl w:val="0"/>
        <w:autoSpaceDE w:val="0"/>
        <w:autoSpaceDN w:val="0"/>
        <w:adjustRightInd w:val="0"/>
        <w:spacing w:after="0"/>
        <w:ind w:firstLine="3780"/>
        <w:jc w:val="both"/>
        <w:rPr>
          <w:rFonts w:eastAsia="Times New Roman" w:cs="Times New Roman"/>
          <w:sz w:val="23"/>
          <w:szCs w:val="23"/>
        </w:rPr>
      </w:pPr>
    </w:p>
    <w:p w:rsidR="008A14C7" w:rsidRPr="008A14C7" w:rsidRDefault="008A14C7" w:rsidP="008A14C7">
      <w:pPr>
        <w:widowControl w:val="0"/>
        <w:autoSpaceDE w:val="0"/>
        <w:autoSpaceDN w:val="0"/>
        <w:adjustRightInd w:val="0"/>
        <w:spacing w:after="0"/>
        <w:rPr>
          <w:rFonts w:eastAsia="Times New Roman" w:cs="Times New Roman"/>
          <w:sz w:val="23"/>
          <w:szCs w:val="23"/>
        </w:rPr>
      </w:pPr>
      <w:r w:rsidRPr="008A14C7">
        <w:rPr>
          <w:rFonts w:eastAsia="Times New Roman" w:cs="Times New Roman"/>
          <w:sz w:val="23"/>
          <w:szCs w:val="23"/>
        </w:rPr>
        <w:t>Michael N. Kobseff, Chair</w:t>
      </w:r>
    </w:p>
    <w:p w:rsidR="008A14C7" w:rsidRPr="008A14C7" w:rsidRDefault="008A14C7" w:rsidP="008A14C7">
      <w:pPr>
        <w:widowControl w:val="0"/>
        <w:autoSpaceDE w:val="0"/>
        <w:autoSpaceDN w:val="0"/>
        <w:adjustRightInd w:val="0"/>
        <w:spacing w:after="0"/>
        <w:rPr>
          <w:rFonts w:eastAsia="Times New Roman" w:cs="Times New Roman"/>
          <w:sz w:val="23"/>
          <w:szCs w:val="23"/>
        </w:rPr>
      </w:pPr>
      <w:r w:rsidRPr="008A14C7">
        <w:rPr>
          <w:rFonts w:eastAsia="Times New Roman" w:cs="Times New Roman"/>
          <w:sz w:val="23"/>
          <w:szCs w:val="23"/>
        </w:rPr>
        <w:t>Board of Supervisors</w:t>
      </w:r>
    </w:p>
    <w:p w:rsidR="008A14C7" w:rsidRDefault="008A14C7"/>
    <w:p w:rsidR="00B06CB9" w:rsidRDefault="00B06CB9">
      <w:bookmarkStart w:id="0" w:name="_GoBack"/>
      <w:bookmarkEnd w:id="0"/>
    </w:p>
    <w:sectPr w:rsidR="00B06CB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C76" w:rsidRDefault="00FB1C76" w:rsidP="008A14C7">
      <w:pPr>
        <w:spacing w:after="0" w:line="240" w:lineRule="auto"/>
      </w:pPr>
      <w:r>
        <w:separator/>
      </w:r>
    </w:p>
  </w:endnote>
  <w:endnote w:type="continuationSeparator" w:id="0">
    <w:p w:rsidR="00FB1C76" w:rsidRDefault="00FB1C76" w:rsidP="008A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P IconicSymbols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52" w:rsidRPr="008A14C7" w:rsidRDefault="00905C52" w:rsidP="00905C52">
    <w:pPr>
      <w:widowControl w:val="0"/>
      <w:autoSpaceDE w:val="0"/>
      <w:autoSpaceDN w:val="0"/>
      <w:adjustRightInd w:val="0"/>
      <w:spacing w:after="0" w:line="397" w:lineRule="exact"/>
      <w:rPr>
        <w:rFonts w:ascii="Verdana" w:eastAsia="Times New Roman" w:hAnsi="Verdana" w:cs="Times New Roman"/>
        <w:sz w:val="24"/>
        <w:szCs w:val="24"/>
      </w:rPr>
    </w:pPr>
    <w:r>
      <w:tab/>
    </w:r>
  </w:p>
  <w:p w:rsidR="00905C52" w:rsidRPr="008A14C7" w:rsidRDefault="00905C52" w:rsidP="00905C52">
    <w:pPr>
      <w:widowControl w:val="0"/>
      <w:tabs>
        <w:tab w:val="left" w:pos="-540"/>
        <w:tab w:val="left" w:pos="-180"/>
        <w:tab w:val="center" w:pos="630"/>
        <w:tab w:val="center" w:pos="2610"/>
        <w:tab w:val="center" w:pos="4410"/>
        <w:tab w:val="center" w:pos="6210"/>
        <w:tab w:val="center" w:pos="8280"/>
      </w:tabs>
      <w:autoSpaceDE w:val="0"/>
      <w:autoSpaceDN w:val="0"/>
      <w:adjustRightInd w:val="0"/>
      <w:spacing w:after="0" w:line="19" w:lineRule="exact"/>
      <w:ind w:left="90"/>
      <w:rPr>
        <w:rFonts w:ascii="Arial" w:eastAsia="Times New Roman" w:hAnsi="Arial" w:cs="Arial"/>
        <w:i/>
        <w:iCs/>
        <w:sz w:val="18"/>
        <w:szCs w:val="18"/>
      </w:rPr>
    </w:pPr>
    <w:r w:rsidRPr="008A14C7">
      <w:rPr>
        <w:rFonts w:ascii="Verdana" w:eastAsia="Times New Roman" w:hAnsi="Verdana" w:cs="Times New Roman"/>
        <w:noProof/>
        <w:sz w:val="24"/>
        <w:szCs w:val="24"/>
      </w:rPr>
      <mc:AlternateContent>
        <mc:Choice Requires="wps">
          <w:drawing>
            <wp:anchor distT="0" distB="0" distL="114300" distR="114300" simplePos="0" relativeHeight="251659264" behindDoc="1" locked="1" layoutInCell="0" allowOverlap="1" wp14:anchorId="0AD1EF92" wp14:editId="32E05875">
              <wp:simplePos x="0" y="0"/>
              <wp:positionH relativeFrom="page">
                <wp:posOffset>971550</wp:posOffset>
              </wp:positionH>
              <wp:positionV relativeFrom="paragraph">
                <wp:posOffset>0</wp:posOffset>
              </wp:positionV>
              <wp:extent cx="588645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6.5pt;margin-top:0;width:463.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85g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jT&#10;Ek8wEqSDFH0E0YjYtgxNrDxDrwvweujvlQ1Q93ey+qqRkMsGvNhcKTk0jFAgFVp//+KCNTRcRZvh&#10;naSATnZGOqUea9VZQNAAPbqEPJ0Swh4NqmAzybJpnEDeKjgLo2CauBdIcbzcK23eMNkhuyixAuoO&#10;nOzvtLFkSHF0ceRly+mat60z1HazbBXaE1sb7ndA1+durbDOQtprI+K4w1x1jc+QAhjD0npa7i7z&#10;P/IwioNFlHvraZZ68TpOvDwNMi8I80U+DeI8vl3/tHTDuGg4pUzcccGOVRjGL8vyoR/G+nF1iAYr&#10;pAvxPBD9sng7bqAjW96VODuJQgqb4pWgoAApDOHtuPYvuTvBQYBLHebrJEjjSealaTLx4skq8BbZ&#10;eunNl+F0mq4Wy8UqvNRh5bTV/y6FI3JMlDXkDqJ7aOiAKLcVM0nyKMRgwEyI0jFeRNotDLPKKIyU&#10;NF+4aVwnnlQ9FzIL7P9QOCf0UYjnh890OsT2LBXU6LF6XO/YdhnbbiPpE7QOcLBP2zELi0aq7xgN&#10;MLJKrL/tiGIYtW8FtF8exrGdcc6IkzQCQ52fbM5PiKgAqsQGo3G5NONc3PWKbxt4KXQ1JOQcWrbm&#10;rp1sO4+sgL81YCy5SA4j1M69c9t5PQ/62S8AAAD//wMAUEsDBBQABgAIAAAAIQAcbn+H2QAAAAcB&#10;AAAPAAAAZHJzL2Rvd25yZXYueG1sTI9BT8MwDIXvSPyHyEjcWAJlVemaToDEFWkdF25pY9pqjROa&#10;bCv/Hu8EF+tZz3rvc7Vd3CROOMfRk4b7lQKB1Hk7Uq/hY/92V4CIyZA1kyfU8IMRtvX1VWVK68+0&#10;w1OTesEhFEujYUgplFLGbkBn4soHJPa+/OxM4nXupZ3NmcPdJB+UyqUzI3HDYAK+DtgdmqPj3s+s&#10;UaH4funJvT/u2jxkbb7W+vZmed6ASLikv2O44DM61MzU+iPZKCbe1xn/kjTwvNiqUKxaVk8g60r+&#10;569/AQAA//8DAFBLAQItABQABgAIAAAAIQC2gziS/gAAAOEBAAATAAAAAAAAAAAAAAAAAAAAAABb&#10;Q29udGVudF9UeXBlc10ueG1sUEsBAi0AFAAGAAgAAAAhADj9If/WAAAAlAEAAAsAAAAAAAAAAAAA&#10;AAAALwEAAF9yZWxzLy5yZWxzUEsBAi0AFAAGAAgAAAAhAO639jzmAgAAMAYAAA4AAAAAAAAAAAAA&#10;AAAALgIAAGRycy9lMm9Eb2MueG1sUEsBAi0AFAAGAAgAAAAhABxuf4fZAAAABwEAAA8AAAAAAAAA&#10;AAAAAAAAQAUAAGRycy9kb3ducmV2LnhtbFBLBQYAAAAABAAEAPMAAABGBgAAAAA=&#10;" o:allowincell="f" fillcolor="black" stroked="f" strokeweight="0">
              <w10:wrap anchorx="page"/>
              <w10:anchorlock/>
            </v:rect>
          </w:pict>
        </mc:Fallback>
      </mc:AlternateContent>
    </w:r>
  </w:p>
  <w:p w:rsidR="00905C52" w:rsidRPr="008A14C7" w:rsidRDefault="00905C52" w:rsidP="00905C52">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ind w:left="90"/>
      <w:rPr>
        <w:rFonts w:ascii="Shruti" w:eastAsia="Times New Roman" w:hAnsi="Verdana" w:cs="Shruti"/>
        <w:i/>
        <w:iCs/>
        <w:sz w:val="18"/>
        <w:szCs w:val="18"/>
      </w:rPr>
    </w:pPr>
    <w:r w:rsidRPr="008A14C7">
      <w:rPr>
        <w:rFonts w:ascii="Arial" w:eastAsia="Times New Roman" w:hAnsi="Arial" w:cs="Arial"/>
        <w:i/>
        <w:iCs/>
        <w:sz w:val="18"/>
        <w:szCs w:val="18"/>
      </w:rPr>
      <w:tab/>
    </w:r>
    <w:r w:rsidRPr="008A14C7">
      <w:rPr>
        <w:rFonts w:ascii="Shruti" w:eastAsia="Times New Roman" w:hAnsi="Verdana" w:cs="Shruti"/>
        <w:b/>
        <w:bCs/>
        <w:sz w:val="16"/>
        <w:szCs w:val="16"/>
      </w:rPr>
      <w:t>Brandon Criss</w:t>
    </w:r>
    <w:r w:rsidRPr="008A14C7">
      <w:rPr>
        <w:rFonts w:ascii="Shruti" w:eastAsia="Times New Roman" w:hAnsi="Verdana" w:cs="Shruti"/>
        <w:b/>
        <w:bCs/>
        <w:sz w:val="16"/>
        <w:szCs w:val="16"/>
      </w:rPr>
      <w:tab/>
      <w:t xml:space="preserve"> Ed Valenzuela</w:t>
    </w:r>
    <w:r w:rsidRPr="008A14C7">
      <w:rPr>
        <w:rFonts w:ascii="Shruti" w:eastAsia="Times New Roman" w:hAnsi="Verdana" w:cs="Shruti"/>
        <w:b/>
        <w:bCs/>
        <w:sz w:val="16"/>
        <w:szCs w:val="16"/>
      </w:rPr>
      <w:tab/>
      <w:t xml:space="preserve"> Michael N. Kobseff</w:t>
    </w:r>
    <w:r w:rsidRPr="008A14C7">
      <w:rPr>
        <w:rFonts w:ascii="Shruti" w:eastAsia="Times New Roman" w:hAnsi="Verdana" w:cs="Shruti"/>
        <w:b/>
        <w:bCs/>
        <w:sz w:val="16"/>
        <w:szCs w:val="16"/>
      </w:rPr>
      <w:tab/>
      <w:t xml:space="preserve"> Lisa Nixon</w:t>
    </w:r>
    <w:r w:rsidRPr="008A14C7">
      <w:rPr>
        <w:rFonts w:ascii="Shruti" w:eastAsia="Times New Roman" w:hAnsi="Verdana" w:cs="Shruti"/>
        <w:b/>
        <w:bCs/>
        <w:sz w:val="16"/>
        <w:szCs w:val="16"/>
      </w:rPr>
      <w:tab/>
      <w:t>Ray Haupt</w:t>
    </w:r>
  </w:p>
  <w:p w:rsidR="00905C52" w:rsidRPr="008A14C7" w:rsidRDefault="00905C52" w:rsidP="00905C52">
    <w:pPr>
      <w:widowControl w:val="0"/>
      <w:tabs>
        <w:tab w:val="left" w:pos="-540"/>
        <w:tab w:val="left" w:pos="-180"/>
        <w:tab w:val="center" w:pos="720"/>
        <w:tab w:val="center" w:pos="2700"/>
        <w:tab w:val="center" w:pos="4590"/>
        <w:tab w:val="center" w:pos="6210"/>
        <w:tab w:val="center" w:pos="8370"/>
      </w:tabs>
      <w:autoSpaceDE w:val="0"/>
      <w:autoSpaceDN w:val="0"/>
      <w:adjustRightInd w:val="0"/>
      <w:spacing w:after="0" w:line="240" w:lineRule="auto"/>
      <w:ind w:left="90"/>
      <w:rPr>
        <w:rFonts w:ascii="Arial" w:eastAsia="Times New Roman" w:hAnsi="Arial" w:cs="Arial"/>
      </w:rPr>
    </w:pPr>
    <w:r w:rsidRPr="008A14C7">
      <w:rPr>
        <w:rFonts w:ascii="Shruti" w:eastAsia="Times New Roman" w:hAnsi="Verdana" w:cs="Shruti"/>
        <w:i/>
        <w:iCs/>
        <w:sz w:val="18"/>
        <w:szCs w:val="18"/>
      </w:rPr>
      <w:tab/>
    </w:r>
    <w:r w:rsidRPr="008A14C7">
      <w:rPr>
        <w:rFonts w:ascii="Shruti" w:eastAsia="Times New Roman" w:hAnsi="Verdana" w:cs="Shruti"/>
        <w:i/>
        <w:iCs/>
        <w:sz w:val="16"/>
        <w:szCs w:val="16"/>
      </w:rPr>
      <w:t>District 1</w:t>
    </w:r>
    <w:r w:rsidRPr="008A14C7">
      <w:rPr>
        <w:rFonts w:ascii="Shruti" w:eastAsia="Times New Roman" w:hAnsi="Verdana" w:cs="Shruti"/>
        <w:i/>
        <w:iCs/>
        <w:sz w:val="16"/>
        <w:szCs w:val="16"/>
      </w:rPr>
      <w:tab/>
      <w:t>District 2</w:t>
    </w:r>
    <w:r w:rsidRPr="008A14C7">
      <w:rPr>
        <w:rFonts w:ascii="Shruti" w:eastAsia="Times New Roman" w:hAnsi="Verdana" w:cs="Shruti"/>
        <w:i/>
        <w:iCs/>
        <w:sz w:val="16"/>
        <w:szCs w:val="16"/>
      </w:rPr>
      <w:tab/>
      <w:t>District 3</w:t>
    </w:r>
    <w:r w:rsidRPr="008A14C7">
      <w:rPr>
        <w:rFonts w:ascii="Shruti" w:eastAsia="Times New Roman" w:hAnsi="Verdana" w:cs="Shruti"/>
        <w:sz w:val="16"/>
        <w:szCs w:val="16"/>
      </w:rPr>
      <w:tab/>
    </w:r>
    <w:r w:rsidRPr="008A14C7">
      <w:rPr>
        <w:rFonts w:ascii="Shruti" w:eastAsia="Times New Roman" w:hAnsi="Verdana" w:cs="Shruti"/>
        <w:i/>
        <w:iCs/>
        <w:sz w:val="16"/>
        <w:szCs w:val="16"/>
      </w:rPr>
      <w:t>District 4</w:t>
    </w:r>
    <w:r w:rsidRPr="008A14C7">
      <w:rPr>
        <w:rFonts w:ascii="Shruti" w:eastAsia="Times New Roman" w:hAnsi="Verdana" w:cs="Shruti"/>
        <w:sz w:val="16"/>
        <w:szCs w:val="16"/>
      </w:rPr>
      <w:tab/>
    </w:r>
    <w:r w:rsidRPr="008A14C7">
      <w:rPr>
        <w:rFonts w:ascii="Shruti" w:eastAsia="Times New Roman" w:hAnsi="Verdana" w:cs="Shruti"/>
        <w:i/>
        <w:iCs/>
        <w:sz w:val="16"/>
        <w:szCs w:val="16"/>
      </w:rPr>
      <w:t>District 5</w:t>
    </w:r>
  </w:p>
  <w:p w:rsidR="008A14C7" w:rsidRDefault="008A14C7" w:rsidP="00905C52">
    <w:pPr>
      <w:pStyle w:val="Footer"/>
      <w:tabs>
        <w:tab w:val="clear" w:pos="4680"/>
        <w:tab w:val="clear" w:pos="9360"/>
        <w:tab w:val="left" w:pos="753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52" w:rsidRDefault="00905C52" w:rsidP="00905C52">
    <w:pPr>
      <w:pStyle w:val="Footer"/>
      <w:tabs>
        <w:tab w:val="clear" w:pos="4680"/>
        <w:tab w:val="clear" w:pos="9360"/>
        <w:tab w:val="left" w:pos="75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C76" w:rsidRDefault="00FB1C76" w:rsidP="008A14C7">
      <w:pPr>
        <w:spacing w:after="0" w:line="240" w:lineRule="auto"/>
      </w:pPr>
      <w:r>
        <w:separator/>
      </w:r>
    </w:p>
  </w:footnote>
  <w:footnote w:type="continuationSeparator" w:id="0">
    <w:p w:rsidR="00FB1C76" w:rsidRDefault="00FB1C76" w:rsidP="008A1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52" w:rsidRPr="008A14C7" w:rsidRDefault="00905C52" w:rsidP="00905C52">
    <w:pPr>
      <w:widowControl w:val="0"/>
      <w:pBdr>
        <w:top w:val="single" w:sz="6" w:space="0" w:color="FFFFFF"/>
        <w:left w:val="single" w:sz="6" w:space="0" w:color="FFFFFF"/>
        <w:bottom w:val="single" w:sz="7" w:space="0" w:color="000000"/>
        <w:right w:val="single" w:sz="6" w:space="0" w:color="FFFFFF"/>
      </w:pBdr>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Garamond" w:eastAsia="Times New Roman" w:hAnsi="Garamond" w:cs="Arial"/>
        <w:spacing w:val="30"/>
        <w:sz w:val="24"/>
        <w:szCs w:val="20"/>
      </w:rPr>
    </w:pPr>
    <w:r w:rsidRPr="008A14C7">
      <w:rPr>
        <w:rFonts w:ascii="Garamond" w:eastAsia="Times New Roman" w:hAnsi="Garamond" w:cs="Shruti"/>
        <w:b/>
        <w:bCs/>
        <w:smallCaps/>
        <w:spacing w:val="30"/>
        <w:sz w:val="40"/>
        <w:szCs w:val="40"/>
      </w:rPr>
      <w:t>County of Siskiyou</w:t>
    </w:r>
    <w:r w:rsidRPr="008A14C7">
      <w:rPr>
        <w:rFonts w:ascii="Garamond" w:eastAsia="Times New Roman" w:hAnsi="Garamond" w:cs="Arial"/>
        <w:b/>
        <w:bCs/>
        <w:spacing w:val="30"/>
        <w:sz w:val="48"/>
        <w:szCs w:val="48"/>
      </w:rPr>
      <w:t xml:space="preserve">    </w:t>
    </w:r>
  </w:p>
  <w:p w:rsidR="00905C52" w:rsidRPr="008A14C7" w:rsidRDefault="00905C52" w:rsidP="00905C52">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Arial"/>
        <w:b/>
        <w:bCs/>
        <w:sz w:val="24"/>
        <w:szCs w:val="20"/>
      </w:rPr>
    </w:pPr>
    <w:r w:rsidRPr="008A14C7">
      <w:rPr>
        <w:rFonts w:ascii="Verdana" w:eastAsia="Times New Roman" w:hAnsi="Verdana" w:cs="Shruti"/>
        <w:sz w:val="32"/>
        <w:szCs w:val="32"/>
      </w:rPr>
      <w:t>Board of Supervisors</w:t>
    </w:r>
  </w:p>
  <w:p w:rsidR="00905C52" w:rsidRPr="008A14C7" w:rsidRDefault="00905C52" w:rsidP="00905C52">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Arial" w:eastAsia="Times New Roman" w:hAnsi="Arial" w:cs="Arial"/>
        <w:sz w:val="20"/>
        <w:szCs w:val="20"/>
      </w:rPr>
    </w:pPr>
    <w:r w:rsidRPr="008A14C7">
      <w:rPr>
        <w:rFonts w:ascii="Arial" w:eastAsia="Times New Roman" w:hAnsi="Arial" w:cs="Arial"/>
        <w:sz w:val="12"/>
        <w:szCs w:val="12"/>
      </w:rPr>
      <w:t xml:space="preserve">          </w:t>
    </w:r>
  </w:p>
  <w:p w:rsidR="00905C52" w:rsidRPr="008A14C7" w:rsidRDefault="00905C52" w:rsidP="00905C52">
    <w:pPr>
      <w:widowControl w:val="0"/>
      <w:tabs>
        <w:tab w:val="left" w:pos="540"/>
        <w:tab w:val="left" w:pos="1260"/>
        <w:tab w:val="left" w:pos="1980"/>
        <w:tab w:val="left" w:pos="2700"/>
        <w:tab w:val="left" w:pos="3420"/>
        <w:tab w:val="left" w:pos="4140"/>
        <w:tab w:val="left" w:pos="4860"/>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8A14C7">
      <w:rPr>
        <w:rFonts w:ascii="Verdana" w:eastAsia="Times New Roman" w:hAnsi="Verdana" w:cs="Shruti"/>
        <w:sz w:val="18"/>
        <w:szCs w:val="18"/>
      </w:rPr>
      <w:t xml:space="preserve">P.O. Box 750 </w:t>
    </w:r>
    <w:r w:rsidRPr="008A14C7">
      <w:rPr>
        <w:rFonts w:ascii="Verdana" w:eastAsia="Times New Roman" w:hAnsi="Verdana" w:cs="Shruti"/>
        <w:sz w:val="12"/>
        <w:szCs w:val="12"/>
      </w:rPr>
      <w:t xml:space="preserve"> </w:t>
    </w:r>
    <w:r w:rsidRPr="008A14C7">
      <w:rPr>
        <w:rFonts w:ascii="Verdana" w:eastAsia="Times New Roman" w:hAnsi="Verdana" w:cs="Shruti"/>
        <w:sz w:val="12"/>
        <w:szCs w:val="12"/>
      </w:rPr>
      <w:sym w:font="WP IconicSymbolsA" w:char="F08E"/>
    </w:r>
    <w:r w:rsidRPr="008A14C7">
      <w:rPr>
        <w:rFonts w:ascii="Verdana" w:eastAsia="Times New Roman" w:hAnsi="Verdana" w:cs="Shruti"/>
        <w:sz w:val="18"/>
        <w:szCs w:val="18"/>
      </w:rPr>
      <w:t xml:space="preserve">  1312 </w:t>
    </w:r>
    <w:proofErr w:type="spellStart"/>
    <w:r w:rsidRPr="008A14C7">
      <w:rPr>
        <w:rFonts w:ascii="Verdana" w:eastAsia="Times New Roman" w:hAnsi="Verdana" w:cs="Shruti"/>
        <w:sz w:val="18"/>
        <w:szCs w:val="18"/>
      </w:rPr>
      <w:t>Fairlane</w:t>
    </w:r>
    <w:proofErr w:type="spellEnd"/>
    <w:r w:rsidRPr="008A14C7">
      <w:rPr>
        <w:rFonts w:ascii="Verdana" w:eastAsia="Times New Roman" w:hAnsi="Verdana" w:cs="Shruti"/>
        <w:sz w:val="18"/>
        <w:szCs w:val="18"/>
      </w:rPr>
      <w:t xml:space="preserve"> Rd     </w:t>
    </w:r>
    <w:r w:rsidRPr="008A14C7">
      <w:rPr>
        <w:rFonts w:ascii="Verdana" w:eastAsia="Times New Roman" w:hAnsi="Verdana" w:cs="Shruti"/>
        <w:sz w:val="18"/>
        <w:szCs w:val="18"/>
      </w:rPr>
      <w:tab/>
      <w:t>(530) 842-8005</w:t>
    </w:r>
  </w:p>
  <w:p w:rsidR="00905C52" w:rsidRPr="008A14C7" w:rsidRDefault="00905C52" w:rsidP="00905C52">
    <w:pPr>
      <w:widowControl w:val="0"/>
      <w:tabs>
        <w:tab w:val="right" w:pos="10080"/>
      </w:tabs>
      <w:autoSpaceDE w:val="0"/>
      <w:autoSpaceDN w:val="0"/>
      <w:adjustRightInd w:val="0"/>
      <w:spacing w:after="0" w:line="240" w:lineRule="auto"/>
      <w:ind w:left="1980" w:right="-720"/>
      <w:rPr>
        <w:rFonts w:ascii="Verdana" w:eastAsia="Times New Roman" w:hAnsi="Verdana" w:cs="Shruti"/>
        <w:sz w:val="18"/>
        <w:szCs w:val="18"/>
      </w:rPr>
    </w:pPr>
    <w:r w:rsidRPr="008A14C7">
      <w:rPr>
        <w:rFonts w:ascii="Verdana" w:eastAsia="Times New Roman" w:hAnsi="Verdana" w:cs="Shruti"/>
        <w:sz w:val="18"/>
        <w:szCs w:val="18"/>
      </w:rPr>
      <w:t>Yreka, California 96097</w:t>
    </w:r>
    <w:r w:rsidRPr="008A14C7">
      <w:rPr>
        <w:rFonts w:ascii="Verdana" w:eastAsia="Times New Roman" w:hAnsi="Verdana" w:cs="Shruti"/>
        <w:sz w:val="18"/>
        <w:szCs w:val="18"/>
      </w:rPr>
      <w:tab/>
      <w:t>FAX (530) 842-8013</w:t>
    </w:r>
  </w:p>
  <w:p w:rsidR="00905C52" w:rsidRPr="008A14C7" w:rsidRDefault="00905C52" w:rsidP="00905C52">
    <w:pPr>
      <w:tabs>
        <w:tab w:val="center" w:pos="4680"/>
        <w:tab w:val="right" w:pos="9360"/>
      </w:tabs>
      <w:spacing w:after="0" w:line="240" w:lineRule="auto"/>
      <w:rPr>
        <w:rFonts w:ascii="Times" w:eastAsia="Times" w:hAnsi="Times" w:cs="Times New Roman"/>
        <w:sz w:val="24"/>
        <w:szCs w:val="20"/>
      </w:rPr>
    </w:pPr>
    <w:r w:rsidRPr="008A14C7">
      <w:rPr>
        <w:rFonts w:ascii="Verdana" w:eastAsia="Times New Roman" w:hAnsi="Verdana" w:cs="Arial"/>
        <w:sz w:val="18"/>
        <w:szCs w:val="18"/>
      </w:rPr>
      <w:t xml:space="preserve">                               </w:t>
    </w:r>
    <w:hyperlink r:id="rId1" w:history="1">
      <w:r w:rsidRPr="008A14C7">
        <w:rPr>
          <w:rFonts w:ascii="Verdana" w:eastAsia="Times New Roman" w:hAnsi="Verdana" w:cs="Arial"/>
          <w:color w:val="0000FF"/>
          <w:sz w:val="18"/>
          <w:szCs w:val="18"/>
          <w:u w:val="single"/>
        </w:rPr>
        <w:t>www.co.siskiyou.ca.us</w:t>
      </w:r>
    </w:hyperlink>
    <w:r w:rsidRPr="008A14C7">
      <w:rPr>
        <w:rFonts w:ascii="Verdana" w:eastAsia="Times New Roman" w:hAnsi="Verdana" w:cs="Arial"/>
        <w:sz w:val="18"/>
        <w:szCs w:val="18"/>
      </w:rPr>
      <w:tab/>
    </w:r>
    <w:r w:rsidRPr="008A14C7">
      <w:rPr>
        <w:rFonts w:ascii="Verdana" w:eastAsia="Times New Roman" w:hAnsi="Verdana" w:cs="Arial"/>
        <w:sz w:val="18"/>
        <w:szCs w:val="18"/>
      </w:rPr>
      <w:tab/>
      <w:t xml:space="preserve">                              Toll Free:  1-888-854-2000, ext. 8005</w:t>
    </w:r>
  </w:p>
  <w:p w:rsidR="00905C52" w:rsidRDefault="00905C52" w:rsidP="00905C52">
    <w:pPr>
      <w:pStyle w:val="Header"/>
    </w:pPr>
  </w:p>
  <w:p w:rsidR="00905C52" w:rsidRDefault="00905C52" w:rsidP="00905C52">
    <w:pPr>
      <w:pStyle w:val="Header"/>
    </w:pPr>
  </w:p>
  <w:p w:rsidR="008A14C7" w:rsidRDefault="008A14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C52" w:rsidRDefault="00905C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553"/>
    <w:rsid w:val="0000755E"/>
    <w:rsid w:val="000D6C5F"/>
    <w:rsid w:val="00121CF4"/>
    <w:rsid w:val="001D74EB"/>
    <w:rsid w:val="00203703"/>
    <w:rsid w:val="00512553"/>
    <w:rsid w:val="00516BED"/>
    <w:rsid w:val="00546671"/>
    <w:rsid w:val="006249FF"/>
    <w:rsid w:val="006543A3"/>
    <w:rsid w:val="006C5D4D"/>
    <w:rsid w:val="007137D7"/>
    <w:rsid w:val="007262BC"/>
    <w:rsid w:val="007A4938"/>
    <w:rsid w:val="00804E06"/>
    <w:rsid w:val="008A14C7"/>
    <w:rsid w:val="008A2945"/>
    <w:rsid w:val="00905C52"/>
    <w:rsid w:val="00953A73"/>
    <w:rsid w:val="009C1D62"/>
    <w:rsid w:val="009F1C1E"/>
    <w:rsid w:val="00AE0DD4"/>
    <w:rsid w:val="00AF6A10"/>
    <w:rsid w:val="00B06CB9"/>
    <w:rsid w:val="00BA1BC1"/>
    <w:rsid w:val="00C12928"/>
    <w:rsid w:val="00C276D5"/>
    <w:rsid w:val="00C823FB"/>
    <w:rsid w:val="00CC30DB"/>
    <w:rsid w:val="00CE1F39"/>
    <w:rsid w:val="00D10C1D"/>
    <w:rsid w:val="00D13A1A"/>
    <w:rsid w:val="00DC7B34"/>
    <w:rsid w:val="00EE497F"/>
    <w:rsid w:val="00F53CC8"/>
    <w:rsid w:val="00FB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DD4"/>
    <w:rPr>
      <w:color w:val="0000FF" w:themeColor="hyperlink"/>
      <w:u w:val="single"/>
    </w:rPr>
  </w:style>
  <w:style w:type="paragraph" w:styleId="Header">
    <w:name w:val="header"/>
    <w:basedOn w:val="Normal"/>
    <w:link w:val="HeaderChar"/>
    <w:uiPriority w:val="99"/>
    <w:unhideWhenUsed/>
    <w:rsid w:val="008A1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4C7"/>
  </w:style>
  <w:style w:type="paragraph" w:styleId="Footer">
    <w:name w:val="footer"/>
    <w:basedOn w:val="Normal"/>
    <w:link w:val="FooterChar"/>
    <w:uiPriority w:val="99"/>
    <w:unhideWhenUsed/>
    <w:rsid w:val="008A1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4C7"/>
  </w:style>
  <w:style w:type="paragraph" w:styleId="BalloonText">
    <w:name w:val="Balloon Text"/>
    <w:basedOn w:val="Normal"/>
    <w:link w:val="BalloonTextChar"/>
    <w:uiPriority w:val="99"/>
    <w:semiHidden/>
    <w:unhideWhenUsed/>
    <w:rsid w:val="008A1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4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DD4"/>
    <w:rPr>
      <w:color w:val="0000FF" w:themeColor="hyperlink"/>
      <w:u w:val="single"/>
    </w:rPr>
  </w:style>
  <w:style w:type="paragraph" w:styleId="Header">
    <w:name w:val="header"/>
    <w:basedOn w:val="Normal"/>
    <w:link w:val="HeaderChar"/>
    <w:uiPriority w:val="99"/>
    <w:unhideWhenUsed/>
    <w:rsid w:val="008A1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4C7"/>
  </w:style>
  <w:style w:type="paragraph" w:styleId="Footer">
    <w:name w:val="footer"/>
    <w:basedOn w:val="Normal"/>
    <w:link w:val="FooterChar"/>
    <w:uiPriority w:val="99"/>
    <w:unhideWhenUsed/>
    <w:rsid w:val="008A1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4C7"/>
  </w:style>
  <w:style w:type="paragraph" w:styleId="BalloonText">
    <w:name w:val="Balloon Text"/>
    <w:basedOn w:val="Normal"/>
    <w:link w:val="BalloonTextChar"/>
    <w:uiPriority w:val="99"/>
    <w:semiHidden/>
    <w:unhideWhenUsed/>
    <w:rsid w:val="008A1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4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enielsen@co.siskiyou.ca.u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siskiyou.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enielsen</dc:creator>
  <cp:lastModifiedBy>enielsen</cp:lastModifiedBy>
  <cp:revision>2</cp:revision>
  <dcterms:created xsi:type="dcterms:W3CDTF">2017-06-30T18:29:00Z</dcterms:created>
  <dcterms:modified xsi:type="dcterms:W3CDTF">2017-06-30T18:29:00Z</dcterms:modified>
</cp:coreProperties>
</file>